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D262" w14:textId="77777777" w:rsidR="00D31BEB" w:rsidRPr="00411CFF" w:rsidRDefault="00A47DC6" w:rsidP="0051131B">
      <w:pPr>
        <w:spacing w:after="0"/>
        <w:jc w:val="center"/>
        <w:rPr>
          <w:rFonts w:ascii="Times New Roman" w:hAnsi="Times New Roman"/>
          <w:b/>
          <w:sz w:val="24"/>
          <w:szCs w:val="24"/>
        </w:rPr>
      </w:pPr>
      <w:r w:rsidRPr="00411CFF">
        <w:rPr>
          <w:rFonts w:ascii="Times New Roman" w:hAnsi="Times New Roman"/>
          <w:b/>
          <w:sz w:val="24"/>
        </w:rPr>
        <w:t>Roadmap for Implementing the Global Competitiveness Programme</w:t>
      </w:r>
    </w:p>
    <w:p w14:paraId="32E8B013" w14:textId="77777777" w:rsidR="00D31BEB" w:rsidRPr="00411CFF" w:rsidRDefault="00A47DC6" w:rsidP="0051131B">
      <w:pPr>
        <w:spacing w:after="0"/>
        <w:jc w:val="center"/>
        <w:rPr>
          <w:rFonts w:ascii="Times New Roman" w:hAnsi="Times New Roman"/>
          <w:b/>
          <w:sz w:val="24"/>
          <w:szCs w:val="24"/>
        </w:rPr>
      </w:pPr>
      <w:proofErr w:type="gramStart"/>
      <w:r w:rsidRPr="00411CFF">
        <w:rPr>
          <w:rFonts w:ascii="Times New Roman" w:hAnsi="Times New Roman"/>
          <w:b/>
          <w:sz w:val="24"/>
        </w:rPr>
        <w:t>of</w:t>
      </w:r>
      <w:proofErr w:type="gramEnd"/>
      <w:r w:rsidRPr="00411CFF">
        <w:rPr>
          <w:rFonts w:ascii="Times New Roman" w:hAnsi="Times New Roman"/>
          <w:b/>
          <w:sz w:val="24"/>
        </w:rPr>
        <w:t xml:space="preserve"> National Research University Higher School of Economics:</w:t>
      </w:r>
    </w:p>
    <w:p w14:paraId="23B7A4C4" w14:textId="77777777" w:rsidR="00A47DC6" w:rsidRPr="00411CFF" w:rsidRDefault="00A47DC6" w:rsidP="0051131B">
      <w:pPr>
        <w:spacing w:after="0"/>
        <w:jc w:val="center"/>
        <w:rPr>
          <w:rFonts w:ascii="Times New Roman" w:hAnsi="Times New Roman"/>
          <w:b/>
          <w:sz w:val="24"/>
          <w:szCs w:val="24"/>
        </w:rPr>
      </w:pPr>
      <w:r w:rsidRPr="00411CFF">
        <w:rPr>
          <w:rFonts w:ascii="Times New Roman" w:hAnsi="Times New Roman"/>
          <w:b/>
          <w:sz w:val="24"/>
        </w:rPr>
        <w:t xml:space="preserve">Key Results </w:t>
      </w:r>
      <w:r w:rsidR="00E97ADC" w:rsidRPr="00411CFF">
        <w:rPr>
          <w:rFonts w:ascii="Times New Roman" w:hAnsi="Times New Roman"/>
          <w:b/>
          <w:sz w:val="24"/>
        </w:rPr>
        <w:t>for</w:t>
      </w:r>
      <w:r w:rsidRPr="00411CFF">
        <w:rPr>
          <w:rFonts w:ascii="Times New Roman" w:hAnsi="Times New Roman"/>
          <w:b/>
          <w:sz w:val="24"/>
        </w:rPr>
        <w:t xml:space="preserve"> 2016</w:t>
      </w:r>
    </w:p>
    <w:p w14:paraId="5738C134" w14:textId="77777777" w:rsidR="00A47DC6" w:rsidRPr="00411CFF" w:rsidRDefault="00A47DC6" w:rsidP="0051131B">
      <w:pPr>
        <w:spacing w:after="0"/>
        <w:jc w:val="both"/>
        <w:rPr>
          <w:rFonts w:ascii="Times New Roman" w:hAnsi="Times New Roman"/>
          <w:b/>
          <w:sz w:val="24"/>
          <w:szCs w:val="24"/>
        </w:rPr>
      </w:pPr>
    </w:p>
    <w:p w14:paraId="3758C51A" w14:textId="5D3F8724" w:rsidR="003D46D5" w:rsidRPr="00411CFF" w:rsidRDefault="00F91CF8" w:rsidP="0051131B">
      <w:pPr>
        <w:spacing w:after="0"/>
        <w:ind w:firstLine="720"/>
        <w:jc w:val="both"/>
        <w:rPr>
          <w:rFonts w:ascii="Times New Roman" w:hAnsi="Times New Roman"/>
          <w:sz w:val="24"/>
          <w:szCs w:val="24"/>
        </w:rPr>
      </w:pPr>
      <w:r w:rsidRPr="00411CFF">
        <w:rPr>
          <w:rFonts w:ascii="Times New Roman" w:hAnsi="Times New Roman"/>
          <w:sz w:val="24"/>
        </w:rPr>
        <w:t>National Research University Higher School of Economics</w:t>
      </w:r>
      <w:r w:rsidR="004729BA" w:rsidRPr="00411CFF">
        <w:rPr>
          <w:rFonts w:ascii="Times New Roman" w:hAnsi="Times New Roman"/>
          <w:sz w:val="24"/>
        </w:rPr>
        <w:t>’</w:t>
      </w:r>
      <w:r w:rsidRPr="00411CFF">
        <w:rPr>
          <w:rFonts w:ascii="Times New Roman" w:hAnsi="Times New Roman"/>
          <w:sz w:val="24"/>
        </w:rPr>
        <w:t xml:space="preserve"> (HSE) </w:t>
      </w:r>
      <w:r w:rsidR="00A47DC6" w:rsidRPr="00411CFF">
        <w:rPr>
          <w:rFonts w:ascii="Times New Roman" w:hAnsi="Times New Roman"/>
          <w:sz w:val="24"/>
        </w:rPr>
        <w:t xml:space="preserve">strategic goal is to </w:t>
      </w:r>
      <w:r w:rsidR="004A7C82" w:rsidRPr="00411CFF">
        <w:rPr>
          <w:rFonts w:ascii="Times New Roman" w:hAnsi="Times New Roman"/>
          <w:sz w:val="24"/>
        </w:rPr>
        <w:t>attain</w:t>
      </w:r>
      <w:r w:rsidR="00A47DC6" w:rsidRPr="00411CFF">
        <w:rPr>
          <w:rFonts w:ascii="Times New Roman" w:hAnsi="Times New Roman"/>
          <w:sz w:val="24"/>
        </w:rPr>
        <w:t xml:space="preserve"> globally recognized standards </w:t>
      </w:r>
      <w:r w:rsidR="00C5215D">
        <w:rPr>
          <w:rFonts w:ascii="Times New Roman" w:hAnsi="Times New Roman"/>
          <w:sz w:val="24"/>
        </w:rPr>
        <w:t>in</w:t>
      </w:r>
      <w:r w:rsidR="00A47DC6" w:rsidRPr="00411CFF">
        <w:rPr>
          <w:rFonts w:ascii="Times New Roman" w:hAnsi="Times New Roman"/>
          <w:sz w:val="24"/>
        </w:rPr>
        <w:t xml:space="preserve"> research</w:t>
      </w:r>
      <w:r w:rsidR="00C5215D">
        <w:rPr>
          <w:rFonts w:ascii="Times New Roman" w:hAnsi="Times New Roman"/>
          <w:sz w:val="24"/>
        </w:rPr>
        <w:t xml:space="preserve"> and</w:t>
      </w:r>
      <w:r w:rsidR="00A47DC6" w:rsidRPr="00411CFF">
        <w:rPr>
          <w:rFonts w:ascii="Times New Roman" w:hAnsi="Times New Roman"/>
          <w:sz w:val="24"/>
        </w:rPr>
        <w:t xml:space="preserve"> education, </w:t>
      </w:r>
      <w:r w:rsidR="00C5215D">
        <w:rPr>
          <w:rFonts w:ascii="Times New Roman" w:hAnsi="Times New Roman"/>
          <w:sz w:val="24"/>
        </w:rPr>
        <w:t>and</w:t>
      </w:r>
      <w:r w:rsidR="00A47DC6" w:rsidRPr="00411CFF">
        <w:rPr>
          <w:rFonts w:ascii="Times New Roman" w:hAnsi="Times New Roman"/>
          <w:sz w:val="24"/>
        </w:rPr>
        <w:t xml:space="preserve"> join the ranks of the world’s leading research universities in social sciences, economics, humanities, computer science</w:t>
      </w:r>
      <w:r w:rsidR="002F150A" w:rsidRPr="00411CFF">
        <w:rPr>
          <w:rFonts w:ascii="Times New Roman" w:hAnsi="Times New Roman"/>
          <w:sz w:val="24"/>
        </w:rPr>
        <w:t>,</w:t>
      </w:r>
      <w:r w:rsidR="00A47DC6" w:rsidRPr="00411CFF">
        <w:rPr>
          <w:rFonts w:ascii="Times New Roman" w:hAnsi="Times New Roman"/>
          <w:sz w:val="24"/>
        </w:rPr>
        <w:t xml:space="preserve"> and mathematics. </w:t>
      </w:r>
      <w:r w:rsidR="004A7C82" w:rsidRPr="00411CFF">
        <w:rPr>
          <w:rFonts w:ascii="Times New Roman" w:hAnsi="Times New Roman"/>
          <w:sz w:val="24"/>
        </w:rPr>
        <w:t xml:space="preserve">The university’s development </w:t>
      </w:r>
      <w:r w:rsidR="00A47DC6" w:rsidRPr="00411CFF">
        <w:rPr>
          <w:rFonts w:ascii="Times New Roman" w:hAnsi="Times New Roman"/>
          <w:sz w:val="24"/>
        </w:rPr>
        <w:t xml:space="preserve">programme </w:t>
      </w:r>
      <w:r w:rsidR="004A7C82" w:rsidRPr="00411CFF">
        <w:rPr>
          <w:rFonts w:ascii="Times New Roman" w:hAnsi="Times New Roman"/>
          <w:sz w:val="24"/>
        </w:rPr>
        <w:t>has been designed to</w:t>
      </w:r>
      <w:r w:rsidR="00A47DC6" w:rsidRPr="00411CFF">
        <w:rPr>
          <w:rFonts w:ascii="Times New Roman" w:hAnsi="Times New Roman"/>
          <w:sz w:val="24"/>
        </w:rPr>
        <w:t xml:space="preserve"> increase HSE’s competitiveness and consolidate its </w:t>
      </w:r>
      <w:r w:rsidR="00F742BB" w:rsidRPr="00411CFF">
        <w:rPr>
          <w:rFonts w:ascii="Times New Roman" w:hAnsi="Times New Roman"/>
          <w:sz w:val="24"/>
        </w:rPr>
        <w:t xml:space="preserve">global </w:t>
      </w:r>
      <w:r w:rsidR="00A47DC6" w:rsidRPr="00411CFF">
        <w:rPr>
          <w:rFonts w:ascii="Times New Roman" w:hAnsi="Times New Roman"/>
          <w:sz w:val="24"/>
        </w:rPr>
        <w:t xml:space="preserve">position </w:t>
      </w:r>
      <w:proofErr w:type="spellStart"/>
      <w:r w:rsidR="00F742BB">
        <w:rPr>
          <w:rFonts w:ascii="Times New Roman" w:hAnsi="Times New Roman"/>
          <w:sz w:val="24"/>
          <w:lang w:val="en-US"/>
        </w:rPr>
        <w:t>i</w:t>
      </w:r>
      <w:proofErr w:type="spellEnd"/>
      <w:r w:rsidR="00A47DC6" w:rsidRPr="00411CFF">
        <w:rPr>
          <w:rFonts w:ascii="Times New Roman" w:hAnsi="Times New Roman"/>
          <w:sz w:val="24"/>
        </w:rPr>
        <w:t>n education</w:t>
      </w:r>
      <w:r w:rsidR="00F742BB">
        <w:rPr>
          <w:rFonts w:ascii="Times New Roman" w:hAnsi="Times New Roman"/>
          <w:sz w:val="24"/>
        </w:rPr>
        <w:t xml:space="preserve"> and</w:t>
      </w:r>
      <w:r w:rsidR="00A47DC6" w:rsidRPr="00411CFF">
        <w:rPr>
          <w:rFonts w:ascii="Times New Roman" w:hAnsi="Times New Roman"/>
          <w:sz w:val="24"/>
        </w:rPr>
        <w:t xml:space="preserve"> research. </w:t>
      </w:r>
    </w:p>
    <w:p w14:paraId="638E4EC9" w14:textId="69306663" w:rsidR="00A47DC6" w:rsidRPr="00411CFF" w:rsidRDefault="00A47DC6" w:rsidP="0051131B">
      <w:pPr>
        <w:spacing w:after="0"/>
        <w:ind w:firstLine="720"/>
        <w:jc w:val="both"/>
        <w:rPr>
          <w:rFonts w:ascii="Times New Roman" w:hAnsi="Times New Roman"/>
          <w:sz w:val="24"/>
          <w:szCs w:val="24"/>
        </w:rPr>
      </w:pPr>
      <w:r w:rsidRPr="00411CFF">
        <w:rPr>
          <w:rFonts w:ascii="Times New Roman" w:hAnsi="Times New Roman"/>
          <w:sz w:val="24"/>
        </w:rPr>
        <w:t xml:space="preserve">The HSE Roadmap 2015-2016 was </w:t>
      </w:r>
      <w:r w:rsidR="004A7C82" w:rsidRPr="00411CFF">
        <w:rPr>
          <w:rFonts w:ascii="Times New Roman" w:hAnsi="Times New Roman"/>
          <w:sz w:val="24"/>
        </w:rPr>
        <w:t>approved by the</w:t>
      </w:r>
      <w:r w:rsidRPr="00411CFF">
        <w:rPr>
          <w:rFonts w:ascii="Times New Roman" w:hAnsi="Times New Roman"/>
          <w:sz w:val="24"/>
        </w:rPr>
        <w:t xml:space="preserve"> Global Competitiveness Programme Council on March 21, 2015, </w:t>
      </w:r>
      <w:r w:rsidR="004A7C82" w:rsidRPr="00411CFF">
        <w:rPr>
          <w:rFonts w:ascii="Times New Roman" w:hAnsi="Times New Roman"/>
          <w:sz w:val="24"/>
        </w:rPr>
        <w:t xml:space="preserve">and </w:t>
      </w:r>
      <w:r w:rsidR="008A454E">
        <w:rPr>
          <w:rFonts w:ascii="Times New Roman" w:hAnsi="Times New Roman"/>
          <w:sz w:val="24"/>
        </w:rPr>
        <w:t xml:space="preserve">then </w:t>
      </w:r>
      <w:r w:rsidR="004706CA">
        <w:rPr>
          <w:rFonts w:ascii="Times New Roman" w:hAnsi="Times New Roman"/>
          <w:sz w:val="24"/>
        </w:rPr>
        <w:t xml:space="preserve">by </w:t>
      </w:r>
      <w:r w:rsidR="004A7C82" w:rsidRPr="00411CFF">
        <w:rPr>
          <w:rFonts w:ascii="Times New Roman" w:hAnsi="Times New Roman"/>
          <w:sz w:val="24"/>
        </w:rPr>
        <w:t>the</w:t>
      </w:r>
      <w:r w:rsidRPr="00411CFF">
        <w:rPr>
          <w:rFonts w:ascii="Times New Roman" w:hAnsi="Times New Roman"/>
          <w:sz w:val="24"/>
        </w:rPr>
        <w:t xml:space="preserve"> Russian Ministry of Education and Science on September 16, 2015.</w:t>
      </w:r>
    </w:p>
    <w:p w14:paraId="657154C7" w14:textId="00D4DCE7" w:rsidR="00A47DC6" w:rsidRPr="00411CFF" w:rsidRDefault="00A47DC6" w:rsidP="0051131B">
      <w:pPr>
        <w:spacing w:before="120" w:after="0"/>
        <w:jc w:val="both"/>
        <w:rPr>
          <w:rFonts w:ascii="Times New Roman" w:hAnsi="Times New Roman"/>
          <w:b/>
          <w:sz w:val="24"/>
          <w:szCs w:val="24"/>
        </w:rPr>
      </w:pPr>
      <w:r w:rsidRPr="00411CFF">
        <w:rPr>
          <w:rFonts w:ascii="Times New Roman" w:hAnsi="Times New Roman"/>
          <w:b/>
          <w:sz w:val="24"/>
        </w:rPr>
        <w:t>Target Indicators</w:t>
      </w:r>
      <w:r w:rsidR="004706CA">
        <w:rPr>
          <w:rFonts w:ascii="Times New Roman" w:hAnsi="Times New Roman"/>
          <w:b/>
          <w:sz w:val="24"/>
        </w:rPr>
        <w:t xml:space="preserve"> for</w:t>
      </w:r>
      <w:r w:rsidRPr="00411CFF">
        <w:rPr>
          <w:rFonts w:ascii="Times New Roman" w:hAnsi="Times New Roman"/>
          <w:b/>
          <w:sz w:val="24"/>
        </w:rPr>
        <w:t xml:space="preserve"> 2016</w:t>
      </w:r>
    </w:p>
    <w:tbl>
      <w:tblPr>
        <w:tblW w:w="50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5420"/>
        <w:gridCol w:w="1127"/>
        <w:gridCol w:w="1127"/>
        <w:gridCol w:w="1123"/>
      </w:tblGrid>
      <w:tr w:rsidR="0049786C" w:rsidRPr="008C06DF" w14:paraId="30ECF792" w14:textId="77777777" w:rsidTr="009318D3">
        <w:trPr>
          <w:tblHeader/>
        </w:trPr>
        <w:tc>
          <w:tcPr>
            <w:tcW w:w="472" w:type="pct"/>
            <w:vMerge w:val="restart"/>
            <w:vAlign w:val="center"/>
          </w:tcPr>
          <w:p w14:paraId="182784CE" w14:textId="77777777" w:rsidR="0049786C" w:rsidRPr="008C06DF" w:rsidRDefault="0049786C" w:rsidP="009318D3">
            <w:pPr>
              <w:spacing w:after="0" w:line="240" w:lineRule="auto"/>
              <w:jc w:val="center"/>
              <w:rPr>
                <w:rFonts w:ascii="Times New Roman" w:hAnsi="Times New Roman"/>
                <w:b/>
              </w:rPr>
            </w:pPr>
            <w:r w:rsidRPr="008C06DF">
              <w:rPr>
                <w:rFonts w:ascii="Times New Roman" w:hAnsi="Times New Roman"/>
                <w:b/>
              </w:rPr>
              <w:t>№</w:t>
            </w:r>
          </w:p>
        </w:tc>
        <w:tc>
          <w:tcPr>
            <w:tcW w:w="2790" w:type="pct"/>
            <w:vMerge w:val="restart"/>
            <w:vAlign w:val="center"/>
          </w:tcPr>
          <w:p w14:paraId="3F1E96B9" w14:textId="77777777" w:rsidR="0049786C" w:rsidRPr="008C06DF" w:rsidRDefault="0049786C" w:rsidP="009318D3">
            <w:pPr>
              <w:spacing w:after="0" w:line="240" w:lineRule="auto"/>
              <w:jc w:val="center"/>
              <w:rPr>
                <w:rFonts w:ascii="Times New Roman" w:hAnsi="Times New Roman"/>
                <w:b/>
              </w:rPr>
            </w:pPr>
            <w:r w:rsidRPr="008C06DF">
              <w:rPr>
                <w:rFonts w:ascii="Times New Roman" w:hAnsi="Times New Roman"/>
                <w:b/>
              </w:rPr>
              <w:t>Indicator</w:t>
            </w:r>
          </w:p>
        </w:tc>
        <w:tc>
          <w:tcPr>
            <w:tcW w:w="580" w:type="pct"/>
            <w:vMerge w:val="restart"/>
            <w:vAlign w:val="center"/>
          </w:tcPr>
          <w:p w14:paraId="1389006A" w14:textId="77777777" w:rsidR="0049786C" w:rsidRPr="008C06DF" w:rsidRDefault="0049786C" w:rsidP="009318D3">
            <w:pPr>
              <w:spacing w:after="0" w:line="240" w:lineRule="auto"/>
              <w:jc w:val="center"/>
              <w:rPr>
                <w:rFonts w:ascii="Times New Roman" w:hAnsi="Times New Roman"/>
                <w:b/>
              </w:rPr>
            </w:pPr>
            <w:r w:rsidRPr="008C06DF">
              <w:rPr>
                <w:rFonts w:ascii="Times New Roman" w:hAnsi="Times New Roman"/>
                <w:b/>
              </w:rPr>
              <w:t>Units of measure-</w:t>
            </w:r>
            <w:proofErr w:type="spellStart"/>
            <w:r w:rsidRPr="008C06DF">
              <w:rPr>
                <w:rFonts w:ascii="Times New Roman" w:hAnsi="Times New Roman"/>
                <w:b/>
              </w:rPr>
              <w:t>ment</w:t>
            </w:r>
            <w:proofErr w:type="spellEnd"/>
          </w:p>
        </w:tc>
        <w:tc>
          <w:tcPr>
            <w:tcW w:w="1158" w:type="pct"/>
            <w:gridSpan w:val="2"/>
          </w:tcPr>
          <w:p w14:paraId="09E1A7BF" w14:textId="77777777" w:rsidR="0049786C" w:rsidRPr="008C06DF" w:rsidRDefault="0049786C" w:rsidP="009318D3">
            <w:pPr>
              <w:spacing w:after="0" w:line="240" w:lineRule="auto"/>
              <w:jc w:val="center"/>
              <w:rPr>
                <w:rFonts w:ascii="Times New Roman" w:hAnsi="Times New Roman"/>
                <w:b/>
              </w:rPr>
            </w:pPr>
            <w:r w:rsidRPr="008C06DF">
              <w:rPr>
                <w:rFonts w:ascii="Times New Roman" w:hAnsi="Times New Roman"/>
                <w:b/>
              </w:rPr>
              <w:t>2016</w:t>
            </w:r>
          </w:p>
        </w:tc>
      </w:tr>
      <w:tr w:rsidR="0049786C" w:rsidRPr="008C06DF" w14:paraId="1E4035BA" w14:textId="77777777" w:rsidTr="009318D3">
        <w:trPr>
          <w:tblHeader/>
        </w:trPr>
        <w:tc>
          <w:tcPr>
            <w:tcW w:w="472" w:type="pct"/>
            <w:vMerge/>
          </w:tcPr>
          <w:p w14:paraId="0DE263D3" w14:textId="77777777" w:rsidR="0049786C" w:rsidRPr="008C06DF" w:rsidRDefault="0049786C" w:rsidP="009318D3">
            <w:pPr>
              <w:spacing w:after="0" w:line="240" w:lineRule="auto"/>
              <w:jc w:val="center"/>
              <w:rPr>
                <w:rFonts w:ascii="Times New Roman" w:hAnsi="Times New Roman"/>
              </w:rPr>
            </w:pPr>
          </w:p>
        </w:tc>
        <w:tc>
          <w:tcPr>
            <w:tcW w:w="2790" w:type="pct"/>
            <w:vMerge/>
          </w:tcPr>
          <w:p w14:paraId="411C4994" w14:textId="77777777" w:rsidR="0049786C" w:rsidRPr="008C06DF" w:rsidRDefault="0049786C" w:rsidP="009318D3">
            <w:pPr>
              <w:spacing w:after="0" w:line="240" w:lineRule="auto"/>
              <w:jc w:val="center"/>
              <w:rPr>
                <w:rFonts w:ascii="Times New Roman" w:hAnsi="Times New Roman"/>
              </w:rPr>
            </w:pPr>
          </w:p>
        </w:tc>
        <w:tc>
          <w:tcPr>
            <w:tcW w:w="580" w:type="pct"/>
            <w:vMerge/>
          </w:tcPr>
          <w:p w14:paraId="753F87E2" w14:textId="77777777" w:rsidR="0049786C" w:rsidRPr="008C06DF" w:rsidRDefault="0049786C" w:rsidP="009318D3">
            <w:pPr>
              <w:spacing w:after="0" w:line="240" w:lineRule="auto"/>
              <w:jc w:val="center"/>
              <w:rPr>
                <w:rFonts w:ascii="Times New Roman" w:hAnsi="Times New Roman"/>
              </w:rPr>
            </w:pPr>
          </w:p>
        </w:tc>
        <w:tc>
          <w:tcPr>
            <w:tcW w:w="580" w:type="pct"/>
          </w:tcPr>
          <w:p w14:paraId="214CD021" w14:textId="77777777" w:rsidR="0049786C" w:rsidRPr="008C06DF" w:rsidRDefault="0049786C" w:rsidP="009318D3">
            <w:pPr>
              <w:spacing w:after="0" w:line="240" w:lineRule="auto"/>
              <w:jc w:val="center"/>
              <w:rPr>
                <w:rFonts w:ascii="Times New Roman" w:hAnsi="Times New Roman"/>
                <w:b/>
              </w:rPr>
            </w:pPr>
            <w:r w:rsidRPr="008C06DF">
              <w:rPr>
                <w:rFonts w:ascii="Times New Roman" w:hAnsi="Times New Roman"/>
                <w:b/>
              </w:rPr>
              <w:t>Expected Indicator Values</w:t>
            </w:r>
          </w:p>
        </w:tc>
        <w:tc>
          <w:tcPr>
            <w:tcW w:w="578" w:type="pct"/>
          </w:tcPr>
          <w:p w14:paraId="1AD9528A" w14:textId="77777777" w:rsidR="0049786C" w:rsidRPr="008C06DF" w:rsidRDefault="0049786C" w:rsidP="009318D3">
            <w:pPr>
              <w:spacing w:after="0" w:line="240" w:lineRule="auto"/>
              <w:jc w:val="center"/>
              <w:rPr>
                <w:rFonts w:ascii="Times New Roman" w:hAnsi="Times New Roman"/>
                <w:b/>
              </w:rPr>
            </w:pPr>
            <w:r w:rsidRPr="008C06DF">
              <w:rPr>
                <w:rFonts w:ascii="Times New Roman" w:hAnsi="Times New Roman"/>
                <w:b/>
              </w:rPr>
              <w:t>Actual Indicator Values</w:t>
            </w:r>
          </w:p>
        </w:tc>
      </w:tr>
      <w:tr w:rsidR="0049786C" w:rsidRPr="008C06DF" w14:paraId="6CC02CCB" w14:textId="77777777" w:rsidTr="009318D3">
        <w:tc>
          <w:tcPr>
            <w:tcW w:w="3262" w:type="pct"/>
            <w:gridSpan w:val="2"/>
          </w:tcPr>
          <w:p w14:paraId="2059DFE3" w14:textId="77777777" w:rsidR="0049786C" w:rsidRPr="008C06DF" w:rsidRDefault="0049786C" w:rsidP="009318D3">
            <w:pPr>
              <w:spacing w:after="0" w:line="240" w:lineRule="auto"/>
              <w:rPr>
                <w:rFonts w:ascii="Times New Roman" w:hAnsi="Times New Roman"/>
                <w:b/>
              </w:rPr>
            </w:pPr>
            <w:r w:rsidRPr="008C06DF">
              <w:rPr>
                <w:rFonts w:ascii="Times New Roman" w:hAnsi="Times New Roman"/>
                <w:b/>
              </w:rPr>
              <w:t>Main Indicators</w:t>
            </w:r>
          </w:p>
        </w:tc>
        <w:tc>
          <w:tcPr>
            <w:tcW w:w="580" w:type="pct"/>
          </w:tcPr>
          <w:p w14:paraId="32EECD99" w14:textId="77777777" w:rsidR="0049786C" w:rsidRPr="008C06DF" w:rsidRDefault="0049786C" w:rsidP="009318D3">
            <w:pPr>
              <w:spacing w:after="0" w:line="240" w:lineRule="auto"/>
              <w:jc w:val="center"/>
              <w:rPr>
                <w:rFonts w:ascii="Times New Roman" w:hAnsi="Times New Roman"/>
                <w:b/>
              </w:rPr>
            </w:pPr>
          </w:p>
        </w:tc>
        <w:tc>
          <w:tcPr>
            <w:tcW w:w="580" w:type="pct"/>
          </w:tcPr>
          <w:p w14:paraId="0E524106" w14:textId="77777777" w:rsidR="0049786C" w:rsidRPr="008C06DF" w:rsidRDefault="0049786C" w:rsidP="009318D3">
            <w:pPr>
              <w:spacing w:after="0" w:line="240" w:lineRule="auto"/>
              <w:rPr>
                <w:rFonts w:ascii="Times New Roman" w:hAnsi="Times New Roman"/>
                <w:b/>
              </w:rPr>
            </w:pPr>
          </w:p>
        </w:tc>
        <w:tc>
          <w:tcPr>
            <w:tcW w:w="578" w:type="pct"/>
          </w:tcPr>
          <w:p w14:paraId="04953FE0" w14:textId="77777777" w:rsidR="0049786C" w:rsidRPr="008C06DF" w:rsidRDefault="0049786C" w:rsidP="009318D3">
            <w:pPr>
              <w:spacing w:after="0" w:line="240" w:lineRule="auto"/>
              <w:rPr>
                <w:rFonts w:ascii="Times New Roman" w:hAnsi="Times New Roman"/>
                <w:b/>
              </w:rPr>
            </w:pPr>
          </w:p>
        </w:tc>
      </w:tr>
      <w:tr w:rsidR="0049786C" w:rsidRPr="004A6AA5" w14:paraId="16060F07" w14:textId="77777777" w:rsidTr="009318D3">
        <w:tc>
          <w:tcPr>
            <w:tcW w:w="472" w:type="pct"/>
            <w:vAlign w:val="center"/>
          </w:tcPr>
          <w:p w14:paraId="23835F55"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w:t>
            </w:r>
          </w:p>
        </w:tc>
        <w:tc>
          <w:tcPr>
            <w:tcW w:w="2790" w:type="pct"/>
          </w:tcPr>
          <w:p w14:paraId="01ED15D3"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Rank position (accurate to within 50 positions) in top global rankings (on the general list and the main subject lists)</w:t>
            </w:r>
          </w:p>
        </w:tc>
        <w:tc>
          <w:tcPr>
            <w:tcW w:w="580" w:type="pct"/>
            <w:vAlign w:val="center"/>
          </w:tcPr>
          <w:p w14:paraId="7F6B003D" w14:textId="77777777" w:rsidR="0049786C" w:rsidRPr="008C06DF" w:rsidRDefault="0049786C" w:rsidP="009318D3">
            <w:pPr>
              <w:spacing w:after="0" w:line="240" w:lineRule="auto"/>
              <w:jc w:val="center"/>
              <w:rPr>
                <w:rFonts w:ascii="Times New Roman" w:hAnsi="Times New Roman"/>
              </w:rPr>
            </w:pPr>
          </w:p>
        </w:tc>
        <w:tc>
          <w:tcPr>
            <w:tcW w:w="580" w:type="pct"/>
          </w:tcPr>
          <w:p w14:paraId="46F51408" w14:textId="77777777" w:rsidR="0049786C" w:rsidRPr="008C06DF" w:rsidRDefault="0049786C" w:rsidP="009318D3">
            <w:pPr>
              <w:spacing w:after="0" w:line="240" w:lineRule="auto"/>
              <w:jc w:val="center"/>
              <w:rPr>
                <w:rFonts w:ascii="Times New Roman" w:hAnsi="Times New Roman"/>
              </w:rPr>
            </w:pPr>
          </w:p>
        </w:tc>
        <w:tc>
          <w:tcPr>
            <w:tcW w:w="578" w:type="pct"/>
          </w:tcPr>
          <w:p w14:paraId="430E48A7" w14:textId="77777777" w:rsidR="0049786C" w:rsidRPr="008C06DF" w:rsidRDefault="0049786C" w:rsidP="009318D3">
            <w:pPr>
              <w:spacing w:after="0" w:line="240" w:lineRule="auto"/>
              <w:jc w:val="center"/>
              <w:rPr>
                <w:rFonts w:ascii="Times New Roman" w:hAnsi="Times New Roman"/>
              </w:rPr>
            </w:pPr>
          </w:p>
        </w:tc>
      </w:tr>
      <w:tr w:rsidR="0049786C" w:rsidRPr="008C06DF" w14:paraId="790013A6" w14:textId="77777777" w:rsidTr="009318D3">
        <w:tc>
          <w:tcPr>
            <w:tcW w:w="472" w:type="pct"/>
            <w:vAlign w:val="center"/>
          </w:tcPr>
          <w:p w14:paraId="017B49A7"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1.1.</w:t>
            </w:r>
          </w:p>
        </w:tc>
        <w:tc>
          <w:tcPr>
            <w:tcW w:w="2790" w:type="pct"/>
          </w:tcPr>
          <w:p w14:paraId="71C5316E"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The Times Higher Education World University Rankings</w:t>
            </w:r>
          </w:p>
        </w:tc>
        <w:tc>
          <w:tcPr>
            <w:tcW w:w="580" w:type="pct"/>
            <w:vAlign w:val="center"/>
          </w:tcPr>
          <w:p w14:paraId="350637C8"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4A96CB66"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301-350</w:t>
            </w:r>
          </w:p>
        </w:tc>
        <w:tc>
          <w:tcPr>
            <w:tcW w:w="578" w:type="pct"/>
            <w:vAlign w:val="center"/>
          </w:tcPr>
          <w:p w14:paraId="1605D66F"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401-500</w:t>
            </w:r>
          </w:p>
        </w:tc>
      </w:tr>
      <w:tr w:rsidR="0049786C" w:rsidRPr="008C06DF" w14:paraId="3C4306F5" w14:textId="77777777" w:rsidTr="009318D3">
        <w:tc>
          <w:tcPr>
            <w:tcW w:w="472" w:type="pct"/>
            <w:vAlign w:val="center"/>
          </w:tcPr>
          <w:p w14:paraId="12FEB168"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1.1.1.</w:t>
            </w:r>
          </w:p>
        </w:tc>
        <w:tc>
          <w:tcPr>
            <w:tcW w:w="2790" w:type="pct"/>
          </w:tcPr>
          <w:p w14:paraId="4FE89E0D"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The Times Higher Education World University Rankings</w:t>
            </w:r>
            <w:r w:rsidRPr="008C06DF">
              <w:rPr>
                <w:rFonts w:ascii="Times New Roman" w:hAnsi="Times New Roman"/>
                <w:lang w:val="en-US"/>
              </w:rPr>
              <w:t xml:space="preserve"> </w:t>
            </w:r>
            <w:r w:rsidRPr="008C06DF">
              <w:rPr>
                <w:rFonts w:ascii="Times New Roman" w:hAnsi="Times New Roman"/>
              </w:rPr>
              <w:t>by faculty:</w:t>
            </w:r>
            <w:r w:rsidRPr="008C06DF">
              <w:rPr>
                <w:rFonts w:ascii="Times New Roman" w:hAnsi="Times New Roman"/>
                <w:lang w:val="en-US"/>
              </w:rPr>
              <w:t xml:space="preserve"> </w:t>
            </w:r>
            <w:r w:rsidRPr="008C06DF">
              <w:rPr>
                <w:rFonts w:ascii="Times New Roman" w:hAnsi="Times New Roman"/>
              </w:rPr>
              <w:t>Business &amp; Economics</w:t>
            </w:r>
          </w:p>
        </w:tc>
        <w:tc>
          <w:tcPr>
            <w:tcW w:w="580" w:type="pct"/>
            <w:vAlign w:val="center"/>
          </w:tcPr>
          <w:p w14:paraId="2A042633"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7C3A4552"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w:t>
            </w:r>
          </w:p>
        </w:tc>
        <w:tc>
          <w:tcPr>
            <w:tcW w:w="578" w:type="pct"/>
            <w:vAlign w:val="center"/>
          </w:tcPr>
          <w:p w14:paraId="62824FFA"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83</w:t>
            </w:r>
          </w:p>
        </w:tc>
      </w:tr>
      <w:tr w:rsidR="0049786C" w:rsidRPr="008C06DF" w14:paraId="3F020AC0" w14:textId="77777777" w:rsidTr="009318D3">
        <w:tc>
          <w:tcPr>
            <w:tcW w:w="472" w:type="pct"/>
            <w:vAlign w:val="center"/>
          </w:tcPr>
          <w:p w14:paraId="726EB660" w14:textId="77777777" w:rsidR="0049786C" w:rsidRPr="008C06DF" w:rsidRDefault="0049786C" w:rsidP="009318D3">
            <w:pPr>
              <w:spacing w:after="0" w:line="240" w:lineRule="auto"/>
              <w:rPr>
                <w:rFonts w:ascii="Times New Roman" w:hAnsi="Times New Roman"/>
              </w:rPr>
            </w:pPr>
            <w:r>
              <w:rPr>
                <w:rFonts w:ascii="Times New Roman" w:hAnsi="Times New Roman"/>
              </w:rPr>
              <w:t>1.1.2</w:t>
            </w:r>
          </w:p>
        </w:tc>
        <w:tc>
          <w:tcPr>
            <w:tcW w:w="2790" w:type="pct"/>
          </w:tcPr>
          <w:p w14:paraId="1C5764C2" w14:textId="77777777" w:rsidR="0049786C" w:rsidRPr="004A6AA5" w:rsidRDefault="0049786C" w:rsidP="009318D3">
            <w:pPr>
              <w:spacing w:after="0" w:line="240" w:lineRule="auto"/>
              <w:rPr>
                <w:rFonts w:ascii="Times New Roman" w:hAnsi="Times New Roman"/>
                <w:lang w:val="en-US"/>
              </w:rPr>
            </w:pPr>
            <w:r w:rsidRPr="008C06DF">
              <w:rPr>
                <w:rFonts w:ascii="Times New Roman" w:hAnsi="Times New Roman"/>
              </w:rPr>
              <w:t>The Times Higher Education</w:t>
            </w:r>
            <w:r>
              <w:rPr>
                <w:rFonts w:ascii="Times New Roman" w:hAnsi="Times New Roman"/>
              </w:rPr>
              <w:t xml:space="preserve"> BRICS &amp; Emerging Economies Rankings</w:t>
            </w:r>
          </w:p>
        </w:tc>
        <w:tc>
          <w:tcPr>
            <w:tcW w:w="580" w:type="pct"/>
            <w:vAlign w:val="center"/>
          </w:tcPr>
          <w:p w14:paraId="5FC11EE5"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0ECB2EC8" w14:textId="77777777" w:rsidR="0049786C" w:rsidRPr="004A6AA5" w:rsidRDefault="0049786C" w:rsidP="009318D3">
            <w:pPr>
              <w:spacing w:after="0" w:line="240" w:lineRule="auto"/>
              <w:jc w:val="center"/>
              <w:rPr>
                <w:rFonts w:ascii="Times New Roman" w:hAnsi="Times New Roman"/>
                <w:lang w:val="en-US"/>
              </w:rPr>
            </w:pPr>
            <w:r>
              <w:rPr>
                <w:rFonts w:ascii="Times New Roman" w:hAnsi="Times New Roman"/>
                <w:lang w:val="en-US"/>
              </w:rPr>
              <w:t>-</w:t>
            </w:r>
          </w:p>
        </w:tc>
        <w:tc>
          <w:tcPr>
            <w:tcW w:w="578" w:type="pct"/>
            <w:vAlign w:val="center"/>
          </w:tcPr>
          <w:p w14:paraId="23CE5E3D" w14:textId="77777777" w:rsidR="0049786C" w:rsidRPr="004A6AA5" w:rsidRDefault="0049786C" w:rsidP="009318D3">
            <w:pPr>
              <w:spacing w:after="0" w:line="240" w:lineRule="auto"/>
              <w:jc w:val="center"/>
              <w:rPr>
                <w:rFonts w:ascii="Times New Roman" w:hAnsi="Times New Roman"/>
                <w:lang w:val="en-US"/>
              </w:rPr>
            </w:pPr>
            <w:r>
              <w:rPr>
                <w:rFonts w:ascii="Times New Roman" w:hAnsi="Times New Roman"/>
                <w:lang w:val="en-US"/>
              </w:rPr>
              <w:t>48</w:t>
            </w:r>
          </w:p>
        </w:tc>
      </w:tr>
      <w:tr w:rsidR="0049786C" w:rsidRPr="008C06DF" w14:paraId="3DF79832" w14:textId="77777777" w:rsidTr="009318D3">
        <w:tc>
          <w:tcPr>
            <w:tcW w:w="472" w:type="pct"/>
            <w:vAlign w:val="center"/>
          </w:tcPr>
          <w:p w14:paraId="4C633141"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w:t>
            </w:r>
          </w:p>
        </w:tc>
        <w:tc>
          <w:tcPr>
            <w:tcW w:w="2790" w:type="pct"/>
          </w:tcPr>
          <w:p w14:paraId="14656BB9"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QS – World University Rankings</w:t>
            </w:r>
          </w:p>
        </w:tc>
        <w:tc>
          <w:tcPr>
            <w:tcW w:w="580" w:type="pct"/>
            <w:vAlign w:val="center"/>
          </w:tcPr>
          <w:p w14:paraId="11E25B45"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33D42F59"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301-350</w:t>
            </w:r>
          </w:p>
        </w:tc>
        <w:tc>
          <w:tcPr>
            <w:tcW w:w="578" w:type="pct"/>
            <w:vAlign w:val="center"/>
          </w:tcPr>
          <w:p w14:paraId="6E293588"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411-420</w:t>
            </w:r>
          </w:p>
        </w:tc>
      </w:tr>
      <w:tr w:rsidR="0049786C" w:rsidRPr="008C06DF" w14:paraId="63E85403" w14:textId="77777777" w:rsidTr="009318D3">
        <w:tc>
          <w:tcPr>
            <w:tcW w:w="472" w:type="pct"/>
            <w:vAlign w:val="center"/>
          </w:tcPr>
          <w:p w14:paraId="5E967E52"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1.2.1.</w:t>
            </w:r>
          </w:p>
        </w:tc>
        <w:tc>
          <w:tcPr>
            <w:tcW w:w="2790" w:type="pct"/>
          </w:tcPr>
          <w:p w14:paraId="4E78E68E"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faculty: </w:t>
            </w:r>
            <w:r w:rsidRPr="008C06DF">
              <w:rPr>
                <w:rFonts w:ascii="Times New Roman" w:hAnsi="Times New Roman"/>
              </w:rPr>
              <w:br/>
              <w:t>Social Sciences and Management</w:t>
            </w:r>
          </w:p>
        </w:tc>
        <w:tc>
          <w:tcPr>
            <w:tcW w:w="580" w:type="pct"/>
            <w:vAlign w:val="center"/>
          </w:tcPr>
          <w:p w14:paraId="0F31BC77"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0217E3C5"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151-200</w:t>
            </w:r>
          </w:p>
        </w:tc>
        <w:tc>
          <w:tcPr>
            <w:tcW w:w="578" w:type="pct"/>
            <w:vAlign w:val="center"/>
          </w:tcPr>
          <w:p w14:paraId="6989BB6E"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161</w:t>
            </w:r>
          </w:p>
        </w:tc>
      </w:tr>
      <w:tr w:rsidR="0049786C" w:rsidRPr="008C06DF" w14:paraId="2C02CBC5" w14:textId="77777777" w:rsidTr="009318D3">
        <w:tc>
          <w:tcPr>
            <w:tcW w:w="472" w:type="pct"/>
            <w:vAlign w:val="center"/>
          </w:tcPr>
          <w:p w14:paraId="62EBDAE4"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1.2.2.</w:t>
            </w:r>
          </w:p>
        </w:tc>
        <w:tc>
          <w:tcPr>
            <w:tcW w:w="2790" w:type="pct"/>
          </w:tcPr>
          <w:p w14:paraId="0D395AF0"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faculty: </w:t>
            </w:r>
            <w:r w:rsidRPr="008C06DF">
              <w:rPr>
                <w:rFonts w:ascii="Times New Roman" w:hAnsi="Times New Roman"/>
              </w:rPr>
              <w:br/>
            </w:r>
            <w:r w:rsidRPr="008C06DF">
              <w:rPr>
                <w:rFonts w:ascii="Times New Roman" w:hAnsi="Times New Roman"/>
                <w:lang w:val="en-US"/>
              </w:rPr>
              <w:t>Arts &amp; Humanities</w:t>
            </w:r>
          </w:p>
        </w:tc>
        <w:tc>
          <w:tcPr>
            <w:tcW w:w="580" w:type="pct"/>
            <w:vAlign w:val="center"/>
          </w:tcPr>
          <w:p w14:paraId="6C625132"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12D1EB38"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78" w:type="pct"/>
            <w:vAlign w:val="center"/>
          </w:tcPr>
          <w:p w14:paraId="1A398728"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289</w:t>
            </w:r>
          </w:p>
        </w:tc>
      </w:tr>
      <w:tr w:rsidR="0049786C" w:rsidRPr="008C06DF" w14:paraId="59118CAB" w14:textId="77777777" w:rsidTr="009318D3">
        <w:tc>
          <w:tcPr>
            <w:tcW w:w="472" w:type="pct"/>
            <w:vAlign w:val="center"/>
          </w:tcPr>
          <w:p w14:paraId="02500DED"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w:t>
            </w:r>
            <w:r>
              <w:rPr>
                <w:rFonts w:ascii="Times New Roman" w:hAnsi="Times New Roman"/>
                <w:lang w:val="en-US"/>
              </w:rPr>
              <w:t>3</w:t>
            </w:r>
            <w:r w:rsidRPr="008C06DF">
              <w:rPr>
                <w:rFonts w:ascii="Times New Roman" w:hAnsi="Times New Roman"/>
              </w:rPr>
              <w:t>.</w:t>
            </w:r>
          </w:p>
        </w:tc>
        <w:tc>
          <w:tcPr>
            <w:tcW w:w="2790" w:type="pct"/>
          </w:tcPr>
          <w:p w14:paraId="5432E9E7"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40443496"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Economics &amp; Econometrics</w:t>
            </w:r>
          </w:p>
        </w:tc>
        <w:tc>
          <w:tcPr>
            <w:tcW w:w="580" w:type="pct"/>
          </w:tcPr>
          <w:p w14:paraId="13A23E07" w14:textId="77777777" w:rsidR="0049786C" w:rsidRPr="008C06DF" w:rsidRDefault="0049786C" w:rsidP="009318D3">
            <w:pPr>
              <w:spacing w:line="240" w:lineRule="auto"/>
              <w:jc w:val="center"/>
              <w:rPr>
                <w:rFonts w:ascii="Times New Roman" w:hAnsi="Times New Roman"/>
              </w:rPr>
            </w:pPr>
            <w:r w:rsidRPr="008C06DF">
              <w:rPr>
                <w:rFonts w:ascii="Times New Roman" w:hAnsi="Times New Roman"/>
              </w:rPr>
              <w:t>position</w:t>
            </w:r>
          </w:p>
        </w:tc>
        <w:tc>
          <w:tcPr>
            <w:tcW w:w="580" w:type="pct"/>
            <w:vAlign w:val="center"/>
          </w:tcPr>
          <w:p w14:paraId="52325CB9"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151-200</w:t>
            </w:r>
          </w:p>
        </w:tc>
        <w:tc>
          <w:tcPr>
            <w:tcW w:w="578" w:type="pct"/>
            <w:vAlign w:val="center"/>
          </w:tcPr>
          <w:p w14:paraId="711BF84D"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101-150</w:t>
            </w:r>
          </w:p>
        </w:tc>
      </w:tr>
      <w:tr w:rsidR="0049786C" w:rsidRPr="008C06DF" w14:paraId="3E5B812B" w14:textId="77777777" w:rsidTr="009318D3">
        <w:tc>
          <w:tcPr>
            <w:tcW w:w="472" w:type="pct"/>
            <w:vAlign w:val="center"/>
          </w:tcPr>
          <w:p w14:paraId="114E6F24"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w:t>
            </w:r>
            <w:r>
              <w:rPr>
                <w:rFonts w:ascii="Times New Roman" w:hAnsi="Times New Roman"/>
                <w:lang w:val="en-US"/>
              </w:rPr>
              <w:t>4</w:t>
            </w:r>
            <w:r w:rsidRPr="008C06DF">
              <w:rPr>
                <w:rFonts w:ascii="Times New Roman" w:hAnsi="Times New Roman"/>
              </w:rPr>
              <w:t>.</w:t>
            </w:r>
          </w:p>
        </w:tc>
        <w:tc>
          <w:tcPr>
            <w:tcW w:w="2790" w:type="pct"/>
          </w:tcPr>
          <w:p w14:paraId="090A6497"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6EC1A448" w14:textId="77777777" w:rsidR="0049786C" w:rsidRPr="008C06DF" w:rsidRDefault="0049786C" w:rsidP="009318D3">
            <w:pPr>
              <w:spacing w:after="0" w:line="240" w:lineRule="auto"/>
              <w:rPr>
                <w:rFonts w:ascii="Times New Roman" w:hAnsi="Times New Roman"/>
              </w:rPr>
            </w:pPr>
            <w:r w:rsidRPr="008C06DF">
              <w:rPr>
                <w:rFonts w:ascii="Times New Roman" w:hAnsi="Times New Roman"/>
                <w:lang w:val="en-US"/>
              </w:rPr>
              <w:t>Sociology</w:t>
            </w:r>
          </w:p>
        </w:tc>
        <w:tc>
          <w:tcPr>
            <w:tcW w:w="580" w:type="pct"/>
          </w:tcPr>
          <w:p w14:paraId="15C85D8A"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42B92284"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151-200</w:t>
            </w:r>
          </w:p>
        </w:tc>
        <w:tc>
          <w:tcPr>
            <w:tcW w:w="578" w:type="pct"/>
            <w:vAlign w:val="center"/>
          </w:tcPr>
          <w:p w14:paraId="536E024F"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101-150</w:t>
            </w:r>
          </w:p>
        </w:tc>
      </w:tr>
      <w:tr w:rsidR="0049786C" w:rsidRPr="008C06DF" w14:paraId="18CE7F82" w14:textId="77777777" w:rsidTr="009318D3">
        <w:tc>
          <w:tcPr>
            <w:tcW w:w="472" w:type="pct"/>
            <w:vAlign w:val="center"/>
          </w:tcPr>
          <w:p w14:paraId="57771ABF"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w:t>
            </w:r>
            <w:r>
              <w:rPr>
                <w:rFonts w:ascii="Times New Roman" w:hAnsi="Times New Roman"/>
                <w:lang w:val="en-US"/>
              </w:rPr>
              <w:t>5</w:t>
            </w:r>
            <w:r w:rsidRPr="008C06DF">
              <w:rPr>
                <w:rFonts w:ascii="Times New Roman" w:hAnsi="Times New Roman"/>
              </w:rPr>
              <w:t>.</w:t>
            </w:r>
          </w:p>
        </w:tc>
        <w:tc>
          <w:tcPr>
            <w:tcW w:w="2790" w:type="pct"/>
          </w:tcPr>
          <w:p w14:paraId="0F4A0035" w14:textId="77777777" w:rsidR="0049786C" w:rsidRPr="008C06DF" w:rsidRDefault="0049786C" w:rsidP="009318D3">
            <w:pPr>
              <w:spacing w:after="0" w:line="240" w:lineRule="auto"/>
              <w:rPr>
                <w:rFonts w:ascii="Times New Roman" w:hAnsi="Times New Roman"/>
                <w:lang w:val="en-US"/>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24F6BD88"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Business &amp; Management</w:t>
            </w:r>
          </w:p>
        </w:tc>
        <w:tc>
          <w:tcPr>
            <w:tcW w:w="580" w:type="pct"/>
          </w:tcPr>
          <w:p w14:paraId="28D1E0CD" w14:textId="77777777" w:rsidR="0049786C" w:rsidRPr="008C06DF" w:rsidRDefault="0049786C" w:rsidP="009318D3">
            <w:pPr>
              <w:spacing w:line="240" w:lineRule="auto"/>
              <w:jc w:val="center"/>
              <w:rPr>
                <w:rFonts w:ascii="Times New Roman" w:hAnsi="Times New Roman"/>
              </w:rPr>
            </w:pPr>
            <w:r w:rsidRPr="008C06DF">
              <w:rPr>
                <w:rFonts w:ascii="Times New Roman" w:hAnsi="Times New Roman"/>
              </w:rPr>
              <w:t>position</w:t>
            </w:r>
          </w:p>
        </w:tc>
        <w:tc>
          <w:tcPr>
            <w:tcW w:w="580" w:type="pct"/>
            <w:vAlign w:val="center"/>
          </w:tcPr>
          <w:p w14:paraId="16A9DC83"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w:t>
            </w:r>
          </w:p>
        </w:tc>
        <w:tc>
          <w:tcPr>
            <w:tcW w:w="578" w:type="pct"/>
            <w:vAlign w:val="center"/>
          </w:tcPr>
          <w:p w14:paraId="0D7D3E5F"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151-200</w:t>
            </w:r>
          </w:p>
        </w:tc>
      </w:tr>
      <w:tr w:rsidR="0049786C" w:rsidRPr="008C06DF" w14:paraId="598FB765" w14:textId="77777777" w:rsidTr="009318D3">
        <w:tc>
          <w:tcPr>
            <w:tcW w:w="472" w:type="pct"/>
            <w:vAlign w:val="center"/>
          </w:tcPr>
          <w:p w14:paraId="44FE4C28" w14:textId="77777777" w:rsidR="0049786C" w:rsidRPr="004A6AA5" w:rsidRDefault="0049786C" w:rsidP="009318D3">
            <w:pPr>
              <w:spacing w:after="0" w:line="240" w:lineRule="auto"/>
              <w:rPr>
                <w:rFonts w:ascii="Times New Roman" w:hAnsi="Times New Roman"/>
                <w:lang w:val="en-US"/>
              </w:rPr>
            </w:pPr>
            <w:r>
              <w:rPr>
                <w:rFonts w:ascii="Times New Roman" w:hAnsi="Times New Roman"/>
                <w:lang w:val="en-US"/>
              </w:rPr>
              <w:t>1.2.6</w:t>
            </w:r>
          </w:p>
        </w:tc>
        <w:tc>
          <w:tcPr>
            <w:tcW w:w="2790" w:type="pct"/>
          </w:tcPr>
          <w:p w14:paraId="6ABC81A1"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5CC5FB4B" w14:textId="77777777" w:rsidR="0049786C" w:rsidRPr="008C06DF" w:rsidRDefault="0049786C" w:rsidP="009318D3">
            <w:pPr>
              <w:spacing w:after="0" w:line="240" w:lineRule="auto"/>
              <w:rPr>
                <w:rFonts w:ascii="Times New Roman" w:hAnsi="Times New Roman"/>
              </w:rPr>
            </w:pPr>
            <w:r w:rsidRPr="008C06DF">
              <w:rPr>
                <w:rFonts w:ascii="Times New Roman" w:hAnsi="Times New Roman"/>
                <w:lang w:val="en-US"/>
              </w:rPr>
              <w:t>Accounting &amp; Finance</w:t>
            </w:r>
          </w:p>
        </w:tc>
        <w:tc>
          <w:tcPr>
            <w:tcW w:w="580" w:type="pct"/>
          </w:tcPr>
          <w:p w14:paraId="3246451D"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4CD62D58"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w:t>
            </w:r>
          </w:p>
        </w:tc>
        <w:tc>
          <w:tcPr>
            <w:tcW w:w="578" w:type="pct"/>
            <w:vAlign w:val="center"/>
          </w:tcPr>
          <w:p w14:paraId="4F967191"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151-200</w:t>
            </w:r>
          </w:p>
        </w:tc>
      </w:tr>
      <w:tr w:rsidR="0049786C" w:rsidRPr="008C06DF" w14:paraId="10123E27" w14:textId="77777777" w:rsidTr="009318D3">
        <w:tc>
          <w:tcPr>
            <w:tcW w:w="472" w:type="pct"/>
            <w:vAlign w:val="center"/>
          </w:tcPr>
          <w:p w14:paraId="797B70DC"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1.2.7.</w:t>
            </w:r>
          </w:p>
        </w:tc>
        <w:tc>
          <w:tcPr>
            <w:tcW w:w="2790" w:type="pct"/>
          </w:tcPr>
          <w:p w14:paraId="0FA59997" w14:textId="77777777" w:rsidR="0049786C" w:rsidRPr="008C06DF" w:rsidRDefault="0049786C" w:rsidP="009318D3">
            <w:pPr>
              <w:spacing w:after="0" w:line="240" w:lineRule="auto"/>
              <w:rPr>
                <w:rFonts w:ascii="Times New Roman" w:hAnsi="Times New Roman"/>
                <w:lang w:val="en-US"/>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5F01FE76"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Politics &amp; International Studies</w:t>
            </w:r>
          </w:p>
        </w:tc>
        <w:tc>
          <w:tcPr>
            <w:tcW w:w="580" w:type="pct"/>
          </w:tcPr>
          <w:p w14:paraId="6A8BCF14" w14:textId="77777777" w:rsidR="0049786C" w:rsidRPr="008C06DF" w:rsidRDefault="0049786C" w:rsidP="009318D3">
            <w:pPr>
              <w:spacing w:line="240" w:lineRule="auto"/>
              <w:jc w:val="center"/>
              <w:rPr>
                <w:rFonts w:ascii="Times New Roman" w:hAnsi="Times New Roman"/>
              </w:rPr>
            </w:pPr>
            <w:r w:rsidRPr="008C06DF">
              <w:rPr>
                <w:rFonts w:ascii="Times New Roman" w:hAnsi="Times New Roman"/>
              </w:rPr>
              <w:t>position</w:t>
            </w:r>
          </w:p>
        </w:tc>
        <w:tc>
          <w:tcPr>
            <w:tcW w:w="580" w:type="pct"/>
            <w:vAlign w:val="center"/>
          </w:tcPr>
          <w:p w14:paraId="109426C8"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w:t>
            </w:r>
          </w:p>
        </w:tc>
        <w:tc>
          <w:tcPr>
            <w:tcW w:w="578" w:type="pct"/>
            <w:vAlign w:val="center"/>
          </w:tcPr>
          <w:p w14:paraId="1EA08B71"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101-150</w:t>
            </w:r>
          </w:p>
        </w:tc>
      </w:tr>
      <w:tr w:rsidR="0049786C" w:rsidRPr="008C06DF" w14:paraId="27A99F1B" w14:textId="77777777" w:rsidTr="009318D3">
        <w:tc>
          <w:tcPr>
            <w:tcW w:w="472" w:type="pct"/>
            <w:vAlign w:val="center"/>
          </w:tcPr>
          <w:p w14:paraId="26E71850"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1.2.8.</w:t>
            </w:r>
          </w:p>
        </w:tc>
        <w:tc>
          <w:tcPr>
            <w:tcW w:w="2790" w:type="pct"/>
          </w:tcPr>
          <w:p w14:paraId="0A9C8D1B"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32DE08B2" w14:textId="77777777" w:rsidR="0049786C" w:rsidRPr="008C06DF" w:rsidRDefault="0049786C" w:rsidP="009318D3">
            <w:pPr>
              <w:spacing w:after="0" w:line="240" w:lineRule="auto"/>
              <w:rPr>
                <w:rFonts w:ascii="Times New Roman" w:hAnsi="Times New Roman"/>
              </w:rPr>
            </w:pPr>
            <w:r w:rsidRPr="008C06DF">
              <w:rPr>
                <w:rFonts w:ascii="Times New Roman" w:hAnsi="Times New Roman"/>
                <w:lang w:val="en-US"/>
              </w:rPr>
              <w:t>Philosophy</w:t>
            </w:r>
          </w:p>
        </w:tc>
        <w:tc>
          <w:tcPr>
            <w:tcW w:w="580" w:type="pct"/>
          </w:tcPr>
          <w:p w14:paraId="0B005DDF"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281DF93F" w14:textId="77777777" w:rsidR="0049786C" w:rsidRPr="008C06DF" w:rsidRDefault="0049786C" w:rsidP="009318D3">
            <w:pPr>
              <w:spacing w:after="0" w:line="240" w:lineRule="auto"/>
              <w:jc w:val="center"/>
              <w:rPr>
                <w:rFonts w:ascii="Times New Roman" w:eastAsia="Times New Roman" w:hAnsi="Times New Roman"/>
                <w:lang w:val="en-US"/>
              </w:rPr>
            </w:pPr>
            <w:r w:rsidRPr="008C06DF">
              <w:rPr>
                <w:rFonts w:ascii="Times New Roman" w:eastAsia="Times New Roman" w:hAnsi="Times New Roman"/>
                <w:lang w:val="en-US"/>
              </w:rPr>
              <w:t>151-200</w:t>
            </w:r>
          </w:p>
        </w:tc>
        <w:tc>
          <w:tcPr>
            <w:tcW w:w="578" w:type="pct"/>
            <w:vAlign w:val="center"/>
          </w:tcPr>
          <w:p w14:paraId="20EFB96F"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151-200</w:t>
            </w:r>
          </w:p>
        </w:tc>
      </w:tr>
      <w:tr w:rsidR="0049786C" w:rsidRPr="004A6AA5" w14:paraId="21123197" w14:textId="77777777" w:rsidTr="009318D3">
        <w:tc>
          <w:tcPr>
            <w:tcW w:w="472" w:type="pct"/>
            <w:vAlign w:val="center"/>
          </w:tcPr>
          <w:p w14:paraId="3149A919" w14:textId="77777777" w:rsidR="0049786C" w:rsidRPr="004A6AA5" w:rsidRDefault="0049786C" w:rsidP="009318D3">
            <w:pPr>
              <w:spacing w:after="0" w:line="240" w:lineRule="auto"/>
              <w:rPr>
                <w:rFonts w:ascii="Times New Roman" w:hAnsi="Times New Roman"/>
                <w:lang w:val="en-US"/>
              </w:rPr>
            </w:pPr>
            <w:r>
              <w:rPr>
                <w:rFonts w:ascii="Times New Roman" w:hAnsi="Times New Roman"/>
                <w:lang w:val="en-US"/>
              </w:rPr>
              <w:t>1.2.9</w:t>
            </w:r>
          </w:p>
        </w:tc>
        <w:tc>
          <w:tcPr>
            <w:tcW w:w="2790" w:type="pct"/>
          </w:tcPr>
          <w:p w14:paraId="71E8F933"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11AD008F"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Mathematics</w:t>
            </w:r>
          </w:p>
        </w:tc>
        <w:tc>
          <w:tcPr>
            <w:tcW w:w="580" w:type="pct"/>
          </w:tcPr>
          <w:p w14:paraId="34FB1823" w14:textId="77777777" w:rsidR="0049786C" w:rsidRPr="004A6AA5" w:rsidRDefault="0049786C" w:rsidP="009318D3">
            <w:pPr>
              <w:spacing w:line="240" w:lineRule="auto"/>
              <w:jc w:val="center"/>
              <w:rPr>
                <w:rFonts w:ascii="Times New Roman" w:hAnsi="Times New Roman"/>
                <w:lang w:val="en-US"/>
              </w:rPr>
            </w:pPr>
            <w:r w:rsidRPr="008C06DF">
              <w:rPr>
                <w:rFonts w:ascii="Times New Roman" w:hAnsi="Times New Roman"/>
              </w:rPr>
              <w:t>position</w:t>
            </w:r>
          </w:p>
        </w:tc>
        <w:tc>
          <w:tcPr>
            <w:tcW w:w="580" w:type="pct"/>
            <w:vAlign w:val="center"/>
          </w:tcPr>
          <w:p w14:paraId="1FD9B44F" w14:textId="77777777" w:rsidR="0049786C" w:rsidRPr="004A6AA5" w:rsidRDefault="0049786C" w:rsidP="009318D3">
            <w:pPr>
              <w:spacing w:after="0" w:line="240" w:lineRule="auto"/>
              <w:jc w:val="center"/>
              <w:rPr>
                <w:rFonts w:ascii="Times New Roman" w:eastAsia="Times New Roman" w:hAnsi="Times New Roman"/>
                <w:color w:val="000000"/>
                <w:lang w:val="en-US" w:eastAsia="ru-RU"/>
              </w:rPr>
            </w:pPr>
            <w:r w:rsidRPr="004A6AA5">
              <w:rPr>
                <w:rFonts w:ascii="Times New Roman" w:eastAsia="Times New Roman" w:hAnsi="Times New Roman"/>
                <w:color w:val="000000"/>
                <w:lang w:val="en-US" w:eastAsia="ru-RU"/>
              </w:rPr>
              <w:t>251-300</w:t>
            </w:r>
          </w:p>
        </w:tc>
        <w:tc>
          <w:tcPr>
            <w:tcW w:w="578" w:type="pct"/>
            <w:vAlign w:val="center"/>
          </w:tcPr>
          <w:p w14:paraId="7DE6FA03" w14:textId="77777777" w:rsidR="0049786C" w:rsidRPr="004A6AA5" w:rsidRDefault="0049786C" w:rsidP="009318D3">
            <w:pPr>
              <w:spacing w:after="0" w:line="240" w:lineRule="auto"/>
              <w:jc w:val="center"/>
              <w:rPr>
                <w:rFonts w:ascii="Times New Roman" w:eastAsia="Times New Roman" w:hAnsi="Times New Roman"/>
                <w:color w:val="000000"/>
                <w:lang w:val="en-US" w:eastAsia="ru-RU"/>
              </w:rPr>
            </w:pPr>
            <w:r w:rsidRPr="004A6AA5">
              <w:rPr>
                <w:rFonts w:ascii="Times New Roman" w:eastAsia="Times New Roman" w:hAnsi="Times New Roman"/>
                <w:color w:val="000000"/>
                <w:lang w:val="en-US" w:eastAsia="ru-RU"/>
              </w:rPr>
              <w:t>251-300</w:t>
            </w:r>
          </w:p>
        </w:tc>
      </w:tr>
      <w:tr w:rsidR="0049786C" w:rsidRPr="008C06DF" w14:paraId="3F3771C9" w14:textId="77777777" w:rsidTr="009318D3">
        <w:tc>
          <w:tcPr>
            <w:tcW w:w="472" w:type="pct"/>
            <w:vAlign w:val="center"/>
          </w:tcPr>
          <w:p w14:paraId="520521EE" w14:textId="77777777" w:rsidR="0049786C" w:rsidRPr="004A6AA5" w:rsidRDefault="0049786C" w:rsidP="009318D3">
            <w:pPr>
              <w:spacing w:after="0" w:line="240" w:lineRule="auto"/>
              <w:rPr>
                <w:rFonts w:ascii="Times New Roman" w:hAnsi="Times New Roman"/>
                <w:lang w:val="en-US"/>
              </w:rPr>
            </w:pPr>
            <w:r w:rsidRPr="004A6AA5">
              <w:rPr>
                <w:rFonts w:ascii="Times New Roman" w:hAnsi="Times New Roman"/>
                <w:lang w:val="en-US"/>
              </w:rPr>
              <w:t>1.2.</w:t>
            </w:r>
            <w:r>
              <w:rPr>
                <w:rFonts w:ascii="Times New Roman" w:hAnsi="Times New Roman"/>
                <w:lang w:val="en-US"/>
              </w:rPr>
              <w:t>10</w:t>
            </w:r>
            <w:r w:rsidRPr="004A6AA5">
              <w:rPr>
                <w:rFonts w:ascii="Times New Roman" w:hAnsi="Times New Roman"/>
                <w:lang w:val="en-US"/>
              </w:rPr>
              <w:t>.</w:t>
            </w:r>
          </w:p>
        </w:tc>
        <w:tc>
          <w:tcPr>
            <w:tcW w:w="2790" w:type="pct"/>
          </w:tcPr>
          <w:p w14:paraId="29F38A85"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QS – World University Rankings by </w:t>
            </w:r>
            <w:r w:rsidRPr="008C06DF">
              <w:rPr>
                <w:rFonts w:ascii="Times New Roman" w:hAnsi="Times New Roman"/>
                <w:lang w:val="en-US"/>
              </w:rPr>
              <w:t>subject</w:t>
            </w:r>
            <w:r w:rsidRPr="008C06DF">
              <w:rPr>
                <w:rFonts w:ascii="Times New Roman" w:hAnsi="Times New Roman"/>
              </w:rPr>
              <w:t>:</w:t>
            </w:r>
          </w:p>
          <w:p w14:paraId="7F15C8BC" w14:textId="77777777" w:rsidR="0049786C" w:rsidRPr="008C06DF" w:rsidRDefault="0049786C" w:rsidP="009318D3">
            <w:pPr>
              <w:spacing w:after="0" w:line="240" w:lineRule="auto"/>
              <w:rPr>
                <w:rFonts w:ascii="Times New Roman" w:hAnsi="Times New Roman"/>
              </w:rPr>
            </w:pPr>
            <w:r w:rsidRPr="008C06DF">
              <w:rPr>
                <w:rFonts w:ascii="Times New Roman" w:hAnsi="Times New Roman"/>
                <w:lang w:val="en-US"/>
              </w:rPr>
              <w:t>Computer Science &amp; Information Systems</w:t>
            </w:r>
          </w:p>
        </w:tc>
        <w:tc>
          <w:tcPr>
            <w:tcW w:w="580" w:type="pct"/>
          </w:tcPr>
          <w:p w14:paraId="01C2CBE3"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2914730C"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451-500</w:t>
            </w:r>
          </w:p>
        </w:tc>
        <w:tc>
          <w:tcPr>
            <w:tcW w:w="578" w:type="pct"/>
            <w:vAlign w:val="center"/>
          </w:tcPr>
          <w:p w14:paraId="108E53F4"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401-500</w:t>
            </w:r>
          </w:p>
        </w:tc>
      </w:tr>
      <w:tr w:rsidR="0049786C" w:rsidRPr="008C06DF" w14:paraId="3811ABEC" w14:textId="77777777" w:rsidTr="009318D3">
        <w:tc>
          <w:tcPr>
            <w:tcW w:w="472" w:type="pct"/>
            <w:vAlign w:val="center"/>
          </w:tcPr>
          <w:p w14:paraId="4D15040F"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1.2.1</w:t>
            </w:r>
            <w:r>
              <w:rPr>
                <w:rFonts w:ascii="Times New Roman" w:hAnsi="Times New Roman"/>
                <w:lang w:val="en-US"/>
              </w:rPr>
              <w:t>1</w:t>
            </w:r>
            <w:r w:rsidRPr="008C06DF">
              <w:rPr>
                <w:rFonts w:ascii="Times New Roman" w:hAnsi="Times New Roman"/>
              </w:rPr>
              <w:t>.</w:t>
            </w:r>
          </w:p>
        </w:tc>
        <w:tc>
          <w:tcPr>
            <w:tcW w:w="2790" w:type="pct"/>
          </w:tcPr>
          <w:p w14:paraId="3A499DB3"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QS Top 50 under 50</w:t>
            </w:r>
          </w:p>
        </w:tc>
        <w:tc>
          <w:tcPr>
            <w:tcW w:w="580" w:type="pct"/>
          </w:tcPr>
          <w:p w14:paraId="3533A53C"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tcPr>
          <w:p w14:paraId="1956B409"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78" w:type="pct"/>
          </w:tcPr>
          <w:p w14:paraId="2E456A74"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51-60</w:t>
            </w:r>
          </w:p>
        </w:tc>
      </w:tr>
      <w:tr w:rsidR="0049786C" w:rsidRPr="008C06DF" w14:paraId="68C8A088" w14:textId="77777777" w:rsidTr="009318D3">
        <w:tc>
          <w:tcPr>
            <w:tcW w:w="472" w:type="pct"/>
            <w:vAlign w:val="center"/>
          </w:tcPr>
          <w:p w14:paraId="18FD5707"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1.2.1</w:t>
            </w:r>
            <w:r>
              <w:rPr>
                <w:rFonts w:ascii="Times New Roman" w:hAnsi="Times New Roman"/>
                <w:lang w:val="en-US"/>
              </w:rPr>
              <w:t>2</w:t>
            </w:r>
            <w:r w:rsidRPr="008C06DF">
              <w:rPr>
                <w:rFonts w:ascii="Times New Roman" w:hAnsi="Times New Roman"/>
              </w:rPr>
              <w:t>.</w:t>
            </w:r>
          </w:p>
        </w:tc>
        <w:tc>
          <w:tcPr>
            <w:tcW w:w="2790" w:type="pct"/>
          </w:tcPr>
          <w:p w14:paraId="4A00564C"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QS University Rankings: BRICS</w:t>
            </w:r>
          </w:p>
        </w:tc>
        <w:tc>
          <w:tcPr>
            <w:tcW w:w="580" w:type="pct"/>
          </w:tcPr>
          <w:p w14:paraId="09FB88A4"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tcPr>
          <w:p w14:paraId="11B5A5B1"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78" w:type="pct"/>
          </w:tcPr>
          <w:p w14:paraId="00A22DED"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62</w:t>
            </w:r>
          </w:p>
        </w:tc>
      </w:tr>
      <w:tr w:rsidR="0049786C" w:rsidRPr="008C06DF" w14:paraId="7EF07F3B" w14:textId="77777777" w:rsidTr="009318D3">
        <w:tc>
          <w:tcPr>
            <w:tcW w:w="472" w:type="pct"/>
            <w:vAlign w:val="center"/>
          </w:tcPr>
          <w:p w14:paraId="73C36D87"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1.2.1</w:t>
            </w:r>
            <w:r>
              <w:rPr>
                <w:rFonts w:ascii="Times New Roman" w:hAnsi="Times New Roman"/>
                <w:lang w:val="en-US"/>
              </w:rPr>
              <w:t>3</w:t>
            </w:r>
            <w:r w:rsidRPr="008C06DF">
              <w:rPr>
                <w:rFonts w:ascii="Times New Roman" w:hAnsi="Times New Roman"/>
              </w:rPr>
              <w:t>.</w:t>
            </w:r>
          </w:p>
        </w:tc>
        <w:tc>
          <w:tcPr>
            <w:tcW w:w="2790" w:type="pct"/>
          </w:tcPr>
          <w:p w14:paraId="2B4DBD78" w14:textId="77777777" w:rsidR="0049786C" w:rsidRPr="008C06DF" w:rsidRDefault="0049786C" w:rsidP="009318D3">
            <w:pPr>
              <w:spacing w:after="0" w:line="240" w:lineRule="auto"/>
              <w:rPr>
                <w:rFonts w:ascii="Times New Roman" w:hAnsi="Times New Roman"/>
                <w:lang w:val="en-US"/>
              </w:rPr>
            </w:pPr>
            <w:r w:rsidRPr="008C06DF">
              <w:rPr>
                <w:rFonts w:ascii="Times New Roman" w:hAnsi="Times New Roman"/>
                <w:lang w:val="en-US"/>
              </w:rPr>
              <w:t>QS University Rankings: Emerging Europe &amp; Central Asia</w:t>
            </w:r>
          </w:p>
        </w:tc>
        <w:tc>
          <w:tcPr>
            <w:tcW w:w="580" w:type="pct"/>
          </w:tcPr>
          <w:p w14:paraId="606A6DF2"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tcPr>
          <w:p w14:paraId="6E08D672"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78" w:type="pct"/>
          </w:tcPr>
          <w:p w14:paraId="6417C514"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35</w:t>
            </w:r>
          </w:p>
        </w:tc>
      </w:tr>
      <w:tr w:rsidR="0049786C" w:rsidRPr="004A6AA5" w14:paraId="23B250A5" w14:textId="77777777" w:rsidTr="009318D3">
        <w:tc>
          <w:tcPr>
            <w:tcW w:w="472" w:type="pct"/>
            <w:vAlign w:val="center"/>
          </w:tcPr>
          <w:p w14:paraId="6B4DFB02" w14:textId="77777777" w:rsidR="0049786C" w:rsidRPr="008C06DF" w:rsidRDefault="0049786C" w:rsidP="009318D3">
            <w:pPr>
              <w:spacing w:after="0" w:line="240" w:lineRule="auto"/>
              <w:rPr>
                <w:rFonts w:ascii="Times New Roman" w:hAnsi="Times New Roman"/>
              </w:rPr>
            </w:pPr>
            <w:r>
              <w:rPr>
                <w:rFonts w:ascii="Times New Roman" w:hAnsi="Times New Roman"/>
              </w:rPr>
              <w:t>1.3</w:t>
            </w:r>
          </w:p>
        </w:tc>
        <w:tc>
          <w:tcPr>
            <w:tcW w:w="2790" w:type="pct"/>
          </w:tcPr>
          <w:p w14:paraId="29A3703E" w14:textId="77777777" w:rsidR="0049786C" w:rsidRPr="004A6AA5" w:rsidRDefault="0049786C" w:rsidP="009318D3">
            <w:pPr>
              <w:spacing w:after="0" w:line="240" w:lineRule="auto"/>
              <w:rPr>
                <w:rFonts w:ascii="Times New Roman" w:hAnsi="Times New Roman"/>
                <w:lang w:val="en-US"/>
              </w:rPr>
            </w:pPr>
            <w:r w:rsidRPr="004A6AA5">
              <w:rPr>
                <w:rFonts w:ascii="Times New Roman" w:hAnsi="Times New Roman"/>
                <w:lang w:val="en-US" w:eastAsia="ru-RU"/>
              </w:rPr>
              <w:t>US News &amp; World Report Best Global Universities</w:t>
            </w:r>
            <w:r>
              <w:rPr>
                <w:rFonts w:ascii="Times New Roman" w:hAnsi="Times New Roman"/>
                <w:lang w:val="en-US" w:eastAsia="ru-RU"/>
              </w:rPr>
              <w:t xml:space="preserve"> Rankings </w:t>
            </w:r>
            <w:r w:rsidRPr="004A6AA5">
              <w:rPr>
                <w:rFonts w:ascii="Times New Roman" w:hAnsi="Times New Roman"/>
                <w:lang w:val="en-US" w:eastAsia="ru-RU"/>
              </w:rPr>
              <w:t xml:space="preserve">by Subject: </w:t>
            </w:r>
            <w:r w:rsidRPr="008C06DF">
              <w:rPr>
                <w:rFonts w:ascii="Times New Roman" w:hAnsi="Times New Roman"/>
              </w:rPr>
              <w:t>Mathematics</w:t>
            </w:r>
          </w:p>
        </w:tc>
        <w:tc>
          <w:tcPr>
            <w:tcW w:w="580" w:type="pct"/>
          </w:tcPr>
          <w:p w14:paraId="7E15BF61" w14:textId="77777777" w:rsidR="0049786C" w:rsidRPr="008C06DF" w:rsidRDefault="0049786C" w:rsidP="009318D3">
            <w:pPr>
              <w:spacing w:after="0" w:line="240" w:lineRule="auto"/>
              <w:jc w:val="center"/>
              <w:rPr>
                <w:rFonts w:ascii="Times New Roman" w:hAnsi="Times New Roman"/>
              </w:rPr>
            </w:pPr>
          </w:p>
        </w:tc>
        <w:tc>
          <w:tcPr>
            <w:tcW w:w="580" w:type="pct"/>
          </w:tcPr>
          <w:p w14:paraId="235BE9AC" w14:textId="77777777" w:rsidR="0049786C" w:rsidRPr="004A6AA5" w:rsidRDefault="0049786C" w:rsidP="009318D3">
            <w:pPr>
              <w:spacing w:after="0" w:line="240" w:lineRule="auto"/>
              <w:jc w:val="center"/>
              <w:rPr>
                <w:rFonts w:ascii="Times New Roman" w:hAnsi="Times New Roman"/>
                <w:lang w:val="en-US"/>
              </w:rPr>
            </w:pPr>
            <w:r>
              <w:rPr>
                <w:rFonts w:ascii="Times New Roman" w:hAnsi="Times New Roman"/>
                <w:lang w:val="en-US"/>
              </w:rPr>
              <w:t>-</w:t>
            </w:r>
          </w:p>
        </w:tc>
        <w:tc>
          <w:tcPr>
            <w:tcW w:w="578" w:type="pct"/>
          </w:tcPr>
          <w:p w14:paraId="18202183" w14:textId="77777777" w:rsidR="0049786C" w:rsidRPr="004A6AA5" w:rsidRDefault="0049786C" w:rsidP="009318D3">
            <w:pPr>
              <w:spacing w:after="0" w:line="240" w:lineRule="auto"/>
              <w:jc w:val="center"/>
              <w:rPr>
                <w:rFonts w:ascii="Times New Roman" w:hAnsi="Times New Roman"/>
                <w:lang w:val="en-US"/>
              </w:rPr>
            </w:pPr>
            <w:r>
              <w:rPr>
                <w:rFonts w:ascii="Times New Roman" w:hAnsi="Times New Roman"/>
                <w:lang w:val="en-US"/>
              </w:rPr>
              <w:t>181</w:t>
            </w:r>
          </w:p>
        </w:tc>
      </w:tr>
      <w:tr w:rsidR="0049786C" w:rsidRPr="008C06DF" w14:paraId="173598F9" w14:textId="77777777" w:rsidTr="009318D3">
        <w:tc>
          <w:tcPr>
            <w:tcW w:w="472" w:type="pct"/>
            <w:vAlign w:val="center"/>
          </w:tcPr>
          <w:p w14:paraId="0ACC8A4F"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lastRenderedPageBreak/>
              <w:t>1.</w:t>
            </w:r>
            <w:r>
              <w:rPr>
                <w:rFonts w:ascii="Times New Roman" w:hAnsi="Times New Roman"/>
              </w:rPr>
              <w:t>4</w:t>
            </w:r>
            <w:r w:rsidRPr="008C06DF">
              <w:rPr>
                <w:rFonts w:ascii="Times New Roman" w:hAnsi="Times New Roman"/>
              </w:rPr>
              <w:t>.</w:t>
            </w:r>
          </w:p>
        </w:tc>
        <w:tc>
          <w:tcPr>
            <w:tcW w:w="2790" w:type="pct"/>
          </w:tcPr>
          <w:p w14:paraId="63E2AD4C"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Social Sciences Research Network (SSRN), rated by total number of cited publications </w:t>
            </w:r>
          </w:p>
        </w:tc>
        <w:tc>
          <w:tcPr>
            <w:tcW w:w="580" w:type="pct"/>
            <w:vAlign w:val="center"/>
          </w:tcPr>
          <w:p w14:paraId="0A1F2A15"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689E2990"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51-100</w:t>
            </w:r>
          </w:p>
        </w:tc>
        <w:tc>
          <w:tcPr>
            <w:tcW w:w="578" w:type="pct"/>
            <w:vAlign w:val="center"/>
          </w:tcPr>
          <w:p w14:paraId="16AD7386"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119</w:t>
            </w:r>
          </w:p>
        </w:tc>
      </w:tr>
      <w:tr w:rsidR="0049786C" w:rsidRPr="008C06DF" w14:paraId="2FC4D763" w14:textId="77777777" w:rsidTr="009318D3">
        <w:tc>
          <w:tcPr>
            <w:tcW w:w="472" w:type="pct"/>
            <w:vAlign w:val="center"/>
          </w:tcPr>
          <w:p w14:paraId="7E3A5242"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w:t>
            </w:r>
            <w:r>
              <w:rPr>
                <w:rFonts w:ascii="Times New Roman" w:hAnsi="Times New Roman"/>
              </w:rPr>
              <w:t>5</w:t>
            </w:r>
            <w:r w:rsidRPr="008C06DF">
              <w:rPr>
                <w:rFonts w:ascii="Times New Roman" w:hAnsi="Times New Roman"/>
              </w:rPr>
              <w:t>.</w:t>
            </w:r>
          </w:p>
        </w:tc>
        <w:tc>
          <w:tcPr>
            <w:tcW w:w="2790" w:type="pct"/>
          </w:tcPr>
          <w:p w14:paraId="1E72AAF6"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Research Papers in Economics (</w:t>
            </w:r>
            <w:proofErr w:type="spellStart"/>
            <w:r w:rsidRPr="008C06DF">
              <w:rPr>
                <w:rFonts w:ascii="Times New Roman" w:hAnsi="Times New Roman"/>
              </w:rPr>
              <w:t>RePEc</w:t>
            </w:r>
            <w:proofErr w:type="spellEnd"/>
            <w:r w:rsidRPr="008C06DF">
              <w:rPr>
                <w:rFonts w:ascii="Times New Roman" w:hAnsi="Times New Roman"/>
              </w:rPr>
              <w:t>), European countries</w:t>
            </w:r>
          </w:p>
        </w:tc>
        <w:tc>
          <w:tcPr>
            <w:tcW w:w="580" w:type="pct"/>
            <w:vAlign w:val="center"/>
          </w:tcPr>
          <w:p w14:paraId="301551F2"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position</w:t>
            </w:r>
          </w:p>
        </w:tc>
        <w:tc>
          <w:tcPr>
            <w:tcW w:w="580" w:type="pct"/>
            <w:vAlign w:val="center"/>
          </w:tcPr>
          <w:p w14:paraId="3CF57BB1"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51-100</w:t>
            </w:r>
          </w:p>
        </w:tc>
        <w:tc>
          <w:tcPr>
            <w:tcW w:w="578" w:type="pct"/>
            <w:vAlign w:val="center"/>
          </w:tcPr>
          <w:p w14:paraId="309719C8"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48</w:t>
            </w:r>
          </w:p>
        </w:tc>
      </w:tr>
      <w:tr w:rsidR="0049786C" w:rsidRPr="004A6AA5" w14:paraId="6CB27270" w14:textId="77777777" w:rsidTr="009318D3">
        <w:trPr>
          <w:trHeight w:val="471"/>
        </w:trPr>
        <w:tc>
          <w:tcPr>
            <w:tcW w:w="472" w:type="pct"/>
            <w:vAlign w:val="center"/>
          </w:tcPr>
          <w:p w14:paraId="2D87C09D"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2.</w:t>
            </w:r>
          </w:p>
        </w:tc>
        <w:tc>
          <w:tcPr>
            <w:tcW w:w="2790" w:type="pct"/>
          </w:tcPr>
          <w:p w14:paraId="4BF52418"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Number of articles in Web</w:t>
            </w:r>
            <w:r w:rsidRPr="008C06DF">
              <w:rPr>
                <w:rFonts w:ascii="Times New Roman" w:hAnsi="Times New Roman"/>
                <w:lang w:val="en-US"/>
              </w:rPr>
              <w:t xml:space="preserve"> </w:t>
            </w:r>
            <w:r w:rsidRPr="008C06DF">
              <w:rPr>
                <w:rFonts w:ascii="Times New Roman" w:hAnsi="Times New Roman"/>
              </w:rPr>
              <w:t xml:space="preserve">of </w:t>
            </w:r>
            <w:r w:rsidRPr="008C06DF">
              <w:rPr>
                <w:rFonts w:ascii="Times New Roman" w:hAnsi="Times New Roman"/>
                <w:lang w:val="en-US"/>
              </w:rPr>
              <w:t xml:space="preserve"> </w:t>
            </w:r>
            <w:r w:rsidRPr="008C06DF">
              <w:rPr>
                <w:rFonts w:ascii="Times New Roman" w:hAnsi="Times New Roman"/>
              </w:rPr>
              <w:t>Science and</w:t>
            </w:r>
            <w:r w:rsidRPr="008C06DF">
              <w:rPr>
                <w:rFonts w:ascii="Times New Roman" w:hAnsi="Times New Roman"/>
                <w:lang w:val="en-US"/>
              </w:rPr>
              <w:t xml:space="preserve"> </w:t>
            </w:r>
            <w:r w:rsidRPr="008C06DF">
              <w:rPr>
                <w:rFonts w:ascii="Times New Roman" w:hAnsi="Times New Roman"/>
              </w:rPr>
              <w:t xml:space="preserve"> Scopus (unduplicated) </w:t>
            </w:r>
            <w:r w:rsidRPr="008C06DF">
              <w:rPr>
                <w:rFonts w:ascii="Times New Roman" w:hAnsi="Times New Roman"/>
                <w:lang w:val="en-US"/>
              </w:rPr>
              <w:t xml:space="preserve"> </w:t>
            </w:r>
            <w:r w:rsidRPr="008C06DF">
              <w:rPr>
                <w:rFonts w:ascii="Times New Roman" w:hAnsi="Times New Roman"/>
              </w:rPr>
              <w:t>per faculty member</w:t>
            </w:r>
          </w:p>
        </w:tc>
        <w:tc>
          <w:tcPr>
            <w:tcW w:w="580" w:type="pct"/>
            <w:vAlign w:val="center"/>
          </w:tcPr>
          <w:p w14:paraId="16769D7D" w14:textId="77777777" w:rsidR="0049786C" w:rsidRPr="008C06DF" w:rsidRDefault="0049786C" w:rsidP="009318D3">
            <w:pPr>
              <w:spacing w:after="0" w:line="240" w:lineRule="auto"/>
              <w:jc w:val="center"/>
              <w:rPr>
                <w:rFonts w:ascii="Times New Roman" w:hAnsi="Times New Roman"/>
              </w:rPr>
            </w:pPr>
          </w:p>
        </w:tc>
        <w:tc>
          <w:tcPr>
            <w:tcW w:w="580" w:type="pct"/>
            <w:vAlign w:val="center"/>
          </w:tcPr>
          <w:p w14:paraId="5F84860C" w14:textId="77777777" w:rsidR="0049786C" w:rsidRPr="008C06DF" w:rsidRDefault="0049786C" w:rsidP="009318D3">
            <w:pPr>
              <w:spacing w:after="0" w:line="240" w:lineRule="auto"/>
              <w:jc w:val="center"/>
              <w:rPr>
                <w:rFonts w:ascii="Times New Roman" w:hAnsi="Times New Roman"/>
              </w:rPr>
            </w:pPr>
          </w:p>
        </w:tc>
        <w:tc>
          <w:tcPr>
            <w:tcW w:w="578" w:type="pct"/>
            <w:vAlign w:val="center"/>
          </w:tcPr>
          <w:p w14:paraId="7A1758B1" w14:textId="77777777" w:rsidR="0049786C" w:rsidRPr="008C06DF" w:rsidRDefault="0049786C" w:rsidP="009318D3">
            <w:pPr>
              <w:spacing w:after="0" w:line="240" w:lineRule="auto"/>
              <w:jc w:val="center"/>
              <w:rPr>
                <w:rFonts w:ascii="Times New Roman" w:hAnsi="Times New Roman"/>
              </w:rPr>
            </w:pPr>
          </w:p>
        </w:tc>
      </w:tr>
      <w:tr w:rsidR="0049786C" w:rsidRPr="008C06DF" w14:paraId="7715A9A3" w14:textId="77777777" w:rsidTr="009318D3">
        <w:trPr>
          <w:trHeight w:val="311"/>
        </w:trPr>
        <w:tc>
          <w:tcPr>
            <w:tcW w:w="472" w:type="pct"/>
            <w:vAlign w:val="center"/>
          </w:tcPr>
          <w:p w14:paraId="14DD215C"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2.1.</w:t>
            </w:r>
          </w:p>
        </w:tc>
        <w:tc>
          <w:tcPr>
            <w:tcW w:w="2790" w:type="pct"/>
          </w:tcPr>
          <w:p w14:paraId="025584D7"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Number of articles in Web</w:t>
            </w:r>
            <w:r w:rsidRPr="008C06DF">
              <w:rPr>
                <w:rFonts w:ascii="Times New Roman" w:hAnsi="Times New Roman"/>
                <w:lang w:val="en-US"/>
              </w:rPr>
              <w:t xml:space="preserve"> </w:t>
            </w:r>
            <w:r w:rsidRPr="008C06DF">
              <w:rPr>
                <w:rFonts w:ascii="Times New Roman" w:hAnsi="Times New Roman"/>
              </w:rPr>
              <w:t>of</w:t>
            </w:r>
            <w:r w:rsidRPr="008C06DF">
              <w:rPr>
                <w:rFonts w:ascii="Times New Roman" w:hAnsi="Times New Roman"/>
                <w:lang w:val="en-US"/>
              </w:rPr>
              <w:t xml:space="preserve"> </w:t>
            </w:r>
            <w:r w:rsidRPr="008C06DF">
              <w:rPr>
                <w:rFonts w:ascii="Times New Roman" w:hAnsi="Times New Roman"/>
              </w:rPr>
              <w:t>Science per faculty member</w:t>
            </w:r>
          </w:p>
        </w:tc>
        <w:tc>
          <w:tcPr>
            <w:tcW w:w="580" w:type="pct"/>
          </w:tcPr>
          <w:p w14:paraId="25D5EB59"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units</w:t>
            </w:r>
          </w:p>
        </w:tc>
        <w:tc>
          <w:tcPr>
            <w:tcW w:w="580" w:type="pct"/>
          </w:tcPr>
          <w:p w14:paraId="1AB27480" w14:textId="77777777" w:rsidR="0049786C" w:rsidRPr="008C06DF" w:rsidRDefault="0049786C" w:rsidP="009318D3">
            <w:pPr>
              <w:spacing w:after="0" w:line="240" w:lineRule="auto"/>
              <w:jc w:val="center"/>
              <w:rPr>
                <w:rFonts w:ascii="Times New Roman" w:eastAsia="Times New Roman" w:hAnsi="Times New Roman"/>
                <w:lang w:val="en-US"/>
              </w:rPr>
            </w:pPr>
            <w:r w:rsidRPr="008C06DF">
              <w:rPr>
                <w:rFonts w:ascii="Times New Roman" w:eastAsia="Times New Roman" w:hAnsi="Times New Roman"/>
                <w:lang w:val="en-US"/>
              </w:rPr>
              <w:t>0.80</w:t>
            </w:r>
          </w:p>
        </w:tc>
        <w:tc>
          <w:tcPr>
            <w:tcW w:w="578" w:type="pct"/>
          </w:tcPr>
          <w:p w14:paraId="4B2C21B3"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1.19</w:t>
            </w:r>
          </w:p>
        </w:tc>
      </w:tr>
      <w:tr w:rsidR="0049786C" w:rsidRPr="008C06DF" w14:paraId="24B075B4" w14:textId="77777777" w:rsidTr="009318D3">
        <w:trPr>
          <w:trHeight w:val="247"/>
        </w:trPr>
        <w:tc>
          <w:tcPr>
            <w:tcW w:w="472" w:type="pct"/>
            <w:vAlign w:val="center"/>
          </w:tcPr>
          <w:p w14:paraId="1519DBB6"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2.2.</w:t>
            </w:r>
          </w:p>
        </w:tc>
        <w:tc>
          <w:tcPr>
            <w:tcW w:w="2790" w:type="pct"/>
          </w:tcPr>
          <w:p w14:paraId="1C0E9495"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Number of articles in Scopus per faculty member</w:t>
            </w:r>
          </w:p>
        </w:tc>
        <w:tc>
          <w:tcPr>
            <w:tcW w:w="580" w:type="pct"/>
          </w:tcPr>
          <w:p w14:paraId="7666EC32"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units</w:t>
            </w:r>
          </w:p>
        </w:tc>
        <w:tc>
          <w:tcPr>
            <w:tcW w:w="580" w:type="pct"/>
          </w:tcPr>
          <w:p w14:paraId="658032B9"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1.23</w:t>
            </w:r>
          </w:p>
        </w:tc>
        <w:tc>
          <w:tcPr>
            <w:tcW w:w="578" w:type="pct"/>
          </w:tcPr>
          <w:p w14:paraId="0226C717"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1.67</w:t>
            </w:r>
          </w:p>
        </w:tc>
      </w:tr>
      <w:tr w:rsidR="0049786C" w:rsidRPr="004A6AA5" w14:paraId="2A8B2D5F" w14:textId="77777777" w:rsidTr="009318D3">
        <w:tc>
          <w:tcPr>
            <w:tcW w:w="472" w:type="pct"/>
            <w:vAlign w:val="center"/>
          </w:tcPr>
          <w:p w14:paraId="20A044A6"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3.</w:t>
            </w:r>
          </w:p>
        </w:tc>
        <w:tc>
          <w:tcPr>
            <w:tcW w:w="2790" w:type="pct"/>
          </w:tcPr>
          <w:p w14:paraId="3F765F02"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Average citation index per faculty member in Web of Science and Scopus (unduplicated) </w:t>
            </w:r>
          </w:p>
        </w:tc>
        <w:tc>
          <w:tcPr>
            <w:tcW w:w="580" w:type="pct"/>
          </w:tcPr>
          <w:p w14:paraId="3B27AD3D" w14:textId="77777777" w:rsidR="0049786C" w:rsidRPr="008C06DF" w:rsidRDefault="0049786C" w:rsidP="009318D3">
            <w:pPr>
              <w:spacing w:after="0" w:line="240" w:lineRule="auto"/>
              <w:jc w:val="center"/>
              <w:rPr>
                <w:rFonts w:ascii="Times New Roman" w:hAnsi="Times New Roman"/>
              </w:rPr>
            </w:pPr>
          </w:p>
        </w:tc>
        <w:tc>
          <w:tcPr>
            <w:tcW w:w="580" w:type="pct"/>
            <w:vAlign w:val="center"/>
          </w:tcPr>
          <w:p w14:paraId="7C2DCB02" w14:textId="77777777" w:rsidR="0049786C" w:rsidRPr="008C06DF" w:rsidRDefault="0049786C" w:rsidP="009318D3">
            <w:pPr>
              <w:spacing w:after="0" w:line="240" w:lineRule="auto"/>
              <w:jc w:val="center"/>
              <w:rPr>
                <w:rFonts w:ascii="Times New Roman" w:hAnsi="Times New Roman"/>
                <w:lang w:val="en-US"/>
              </w:rPr>
            </w:pPr>
          </w:p>
        </w:tc>
        <w:tc>
          <w:tcPr>
            <w:tcW w:w="578" w:type="pct"/>
            <w:vAlign w:val="center"/>
          </w:tcPr>
          <w:p w14:paraId="03D2015E" w14:textId="77777777" w:rsidR="0049786C" w:rsidRPr="008C06DF" w:rsidRDefault="0049786C" w:rsidP="009318D3">
            <w:pPr>
              <w:spacing w:after="0" w:line="240" w:lineRule="auto"/>
              <w:jc w:val="center"/>
              <w:rPr>
                <w:rFonts w:ascii="Times New Roman" w:hAnsi="Times New Roman"/>
              </w:rPr>
            </w:pPr>
          </w:p>
        </w:tc>
      </w:tr>
      <w:tr w:rsidR="0049786C" w:rsidRPr="008C06DF" w14:paraId="39375BC6" w14:textId="77777777" w:rsidTr="009318D3">
        <w:tc>
          <w:tcPr>
            <w:tcW w:w="472" w:type="pct"/>
            <w:vAlign w:val="center"/>
          </w:tcPr>
          <w:p w14:paraId="38584E29"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3.1.</w:t>
            </w:r>
          </w:p>
        </w:tc>
        <w:tc>
          <w:tcPr>
            <w:tcW w:w="2790" w:type="pct"/>
          </w:tcPr>
          <w:p w14:paraId="2EBB3AA9"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Average citation index per faculty member in Web of Science</w:t>
            </w:r>
          </w:p>
        </w:tc>
        <w:tc>
          <w:tcPr>
            <w:tcW w:w="580" w:type="pct"/>
          </w:tcPr>
          <w:p w14:paraId="5FC62EF9"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units</w:t>
            </w:r>
          </w:p>
        </w:tc>
        <w:tc>
          <w:tcPr>
            <w:tcW w:w="580" w:type="pct"/>
          </w:tcPr>
          <w:p w14:paraId="5104EE88" w14:textId="77777777" w:rsidR="0049786C" w:rsidRPr="008C06DF" w:rsidRDefault="0049786C" w:rsidP="009318D3">
            <w:pPr>
              <w:spacing w:after="0" w:line="240" w:lineRule="auto"/>
              <w:jc w:val="center"/>
              <w:rPr>
                <w:rFonts w:ascii="Times New Roman" w:eastAsia="Times New Roman" w:hAnsi="Times New Roman"/>
                <w:lang w:val="en-US"/>
              </w:rPr>
            </w:pPr>
            <w:r w:rsidRPr="008C06DF">
              <w:rPr>
                <w:rFonts w:ascii="Times New Roman" w:eastAsia="Times New Roman" w:hAnsi="Times New Roman"/>
                <w:lang w:val="en-US"/>
              </w:rPr>
              <w:t>1.15</w:t>
            </w:r>
          </w:p>
        </w:tc>
        <w:tc>
          <w:tcPr>
            <w:tcW w:w="578" w:type="pct"/>
          </w:tcPr>
          <w:p w14:paraId="453FBCB6"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3.42</w:t>
            </w:r>
          </w:p>
        </w:tc>
      </w:tr>
      <w:tr w:rsidR="0049786C" w:rsidRPr="008C06DF" w14:paraId="42BD61C1" w14:textId="77777777" w:rsidTr="009318D3">
        <w:trPr>
          <w:trHeight w:val="249"/>
        </w:trPr>
        <w:tc>
          <w:tcPr>
            <w:tcW w:w="472" w:type="pct"/>
            <w:vAlign w:val="center"/>
          </w:tcPr>
          <w:p w14:paraId="1BC8839D"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3.2.</w:t>
            </w:r>
          </w:p>
        </w:tc>
        <w:tc>
          <w:tcPr>
            <w:tcW w:w="2790" w:type="pct"/>
          </w:tcPr>
          <w:p w14:paraId="766DD8DA"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Average citation index per faculty member in Scopus</w:t>
            </w:r>
          </w:p>
        </w:tc>
        <w:tc>
          <w:tcPr>
            <w:tcW w:w="580" w:type="pct"/>
          </w:tcPr>
          <w:p w14:paraId="6F251396"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units</w:t>
            </w:r>
          </w:p>
        </w:tc>
        <w:tc>
          <w:tcPr>
            <w:tcW w:w="580" w:type="pct"/>
          </w:tcPr>
          <w:p w14:paraId="7C6D4D03" w14:textId="77777777" w:rsidR="0049786C" w:rsidRPr="008C06DF" w:rsidRDefault="0049786C" w:rsidP="009318D3">
            <w:pPr>
              <w:spacing w:after="0" w:line="240" w:lineRule="auto"/>
              <w:jc w:val="center"/>
              <w:rPr>
                <w:rFonts w:ascii="Times New Roman" w:eastAsia="Times New Roman" w:hAnsi="Times New Roman"/>
                <w:lang w:val="en-US"/>
              </w:rPr>
            </w:pPr>
            <w:r w:rsidRPr="008C06DF">
              <w:rPr>
                <w:rFonts w:ascii="Times New Roman" w:eastAsia="Times New Roman" w:hAnsi="Times New Roman"/>
                <w:lang w:val="en-US"/>
              </w:rPr>
              <w:t>1.81</w:t>
            </w:r>
          </w:p>
        </w:tc>
        <w:tc>
          <w:tcPr>
            <w:tcW w:w="578" w:type="pct"/>
          </w:tcPr>
          <w:p w14:paraId="08305F1C"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4.45</w:t>
            </w:r>
          </w:p>
        </w:tc>
      </w:tr>
      <w:tr w:rsidR="0049786C" w:rsidRPr="008C06DF" w14:paraId="036E6274" w14:textId="77777777" w:rsidTr="009318D3">
        <w:tc>
          <w:tcPr>
            <w:tcW w:w="472" w:type="pct"/>
            <w:vAlign w:val="center"/>
          </w:tcPr>
          <w:p w14:paraId="765C05DF"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4.</w:t>
            </w:r>
          </w:p>
        </w:tc>
        <w:tc>
          <w:tcPr>
            <w:tcW w:w="2790" w:type="pct"/>
          </w:tcPr>
          <w:p w14:paraId="435A3745"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Foreign professors, lecturers, and researchers in the total faculty and staff contingent, including Russian citizens with PhDs from foreign universities</w:t>
            </w:r>
          </w:p>
        </w:tc>
        <w:tc>
          <w:tcPr>
            <w:tcW w:w="580" w:type="pct"/>
            <w:vAlign w:val="center"/>
          </w:tcPr>
          <w:p w14:paraId="77072442"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80" w:type="pct"/>
          </w:tcPr>
          <w:p w14:paraId="68070224" w14:textId="77777777" w:rsidR="0049786C" w:rsidRPr="008C06DF" w:rsidRDefault="0049786C" w:rsidP="009318D3">
            <w:pPr>
              <w:spacing w:after="0" w:line="240" w:lineRule="auto"/>
              <w:jc w:val="center"/>
              <w:rPr>
                <w:rFonts w:ascii="Times New Roman" w:eastAsia="Times New Roman" w:hAnsi="Times New Roman"/>
                <w:lang w:val="en-US"/>
              </w:rPr>
            </w:pPr>
            <w:r w:rsidRPr="008C06DF">
              <w:rPr>
                <w:rFonts w:ascii="Times New Roman" w:eastAsia="Times New Roman" w:hAnsi="Times New Roman"/>
                <w:lang w:val="en-US"/>
              </w:rPr>
              <w:t>10.2</w:t>
            </w:r>
          </w:p>
        </w:tc>
        <w:tc>
          <w:tcPr>
            <w:tcW w:w="578" w:type="pct"/>
          </w:tcPr>
          <w:p w14:paraId="6FEA1D2E"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10.8</w:t>
            </w:r>
          </w:p>
        </w:tc>
      </w:tr>
      <w:tr w:rsidR="0049786C" w:rsidRPr="008C06DF" w14:paraId="3E150C77" w14:textId="77777777" w:rsidTr="009318D3">
        <w:tc>
          <w:tcPr>
            <w:tcW w:w="472" w:type="pct"/>
            <w:vAlign w:val="center"/>
          </w:tcPr>
          <w:p w14:paraId="3CC3AF78"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5.</w:t>
            </w:r>
          </w:p>
        </w:tc>
        <w:tc>
          <w:tcPr>
            <w:tcW w:w="2790" w:type="pct"/>
          </w:tcPr>
          <w:p w14:paraId="3A2F5254"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Foreign students enrolled in the university's core educational programs (including students from CIS countries), </w:t>
            </w:r>
            <w:proofErr w:type="spellStart"/>
            <w:r w:rsidRPr="008C06DF">
              <w:rPr>
                <w:rFonts w:ascii="Times New Roman" w:hAnsi="Times New Roman"/>
              </w:rPr>
              <w:t>percent</w:t>
            </w:r>
            <w:proofErr w:type="spellEnd"/>
            <w:r w:rsidRPr="008C06DF">
              <w:rPr>
                <w:rFonts w:ascii="Times New Roman" w:hAnsi="Times New Roman"/>
              </w:rPr>
              <w:t xml:space="preserve"> of the total student population</w:t>
            </w:r>
          </w:p>
        </w:tc>
        <w:tc>
          <w:tcPr>
            <w:tcW w:w="580" w:type="pct"/>
            <w:vAlign w:val="center"/>
          </w:tcPr>
          <w:p w14:paraId="44764226"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80" w:type="pct"/>
          </w:tcPr>
          <w:p w14:paraId="07D47949"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7.55</w:t>
            </w:r>
          </w:p>
        </w:tc>
        <w:tc>
          <w:tcPr>
            <w:tcW w:w="578" w:type="pct"/>
          </w:tcPr>
          <w:p w14:paraId="7D3D91F3"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8.00</w:t>
            </w:r>
          </w:p>
        </w:tc>
      </w:tr>
      <w:tr w:rsidR="0049786C" w:rsidRPr="008C06DF" w14:paraId="68F2EC8D" w14:textId="77777777" w:rsidTr="009318D3">
        <w:tc>
          <w:tcPr>
            <w:tcW w:w="472" w:type="pct"/>
            <w:vAlign w:val="center"/>
          </w:tcPr>
          <w:p w14:paraId="488C0E5E"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6.</w:t>
            </w:r>
          </w:p>
        </w:tc>
        <w:tc>
          <w:tcPr>
            <w:tcW w:w="2790" w:type="pct"/>
          </w:tcPr>
          <w:p w14:paraId="400FFD85"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Average USE score of full-time students admitted to bachelor's and specialist programs whose tuition is covered by the government </w:t>
            </w:r>
          </w:p>
        </w:tc>
        <w:tc>
          <w:tcPr>
            <w:tcW w:w="580" w:type="pct"/>
            <w:vAlign w:val="center"/>
          </w:tcPr>
          <w:p w14:paraId="407DBB32"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score</w:t>
            </w:r>
          </w:p>
        </w:tc>
        <w:tc>
          <w:tcPr>
            <w:tcW w:w="580" w:type="pct"/>
          </w:tcPr>
          <w:p w14:paraId="32834BE0" w14:textId="77777777" w:rsidR="0049786C" w:rsidRPr="008C06DF" w:rsidRDefault="0049786C" w:rsidP="009318D3">
            <w:pPr>
              <w:spacing w:after="0" w:line="240" w:lineRule="auto"/>
              <w:jc w:val="center"/>
              <w:rPr>
                <w:rFonts w:ascii="Times New Roman" w:eastAsia="Times New Roman" w:hAnsi="Times New Roman"/>
                <w:lang w:val="en-US"/>
              </w:rPr>
            </w:pPr>
            <w:r w:rsidRPr="008C06DF">
              <w:rPr>
                <w:rFonts w:ascii="Times New Roman" w:eastAsia="Times New Roman" w:hAnsi="Times New Roman"/>
                <w:lang w:val="en-US"/>
              </w:rPr>
              <w:t>90</w:t>
            </w:r>
          </w:p>
        </w:tc>
        <w:tc>
          <w:tcPr>
            <w:tcW w:w="578" w:type="pct"/>
          </w:tcPr>
          <w:p w14:paraId="72029AA0"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93.03</w:t>
            </w:r>
          </w:p>
        </w:tc>
      </w:tr>
      <w:tr w:rsidR="0049786C" w:rsidRPr="008C06DF" w14:paraId="74729CE9" w14:textId="77777777" w:rsidTr="009318D3">
        <w:tc>
          <w:tcPr>
            <w:tcW w:w="472" w:type="pct"/>
            <w:vAlign w:val="center"/>
          </w:tcPr>
          <w:p w14:paraId="4A69C3CD"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7.</w:t>
            </w:r>
          </w:p>
        </w:tc>
        <w:tc>
          <w:tcPr>
            <w:tcW w:w="2790" w:type="pct"/>
          </w:tcPr>
          <w:p w14:paraId="56895C7F"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Share of</w:t>
            </w:r>
            <w:r w:rsidRPr="008C06DF">
              <w:rPr>
                <w:rFonts w:ascii="Times New Roman" w:hAnsi="Times New Roman"/>
                <w:lang w:val="en-US"/>
              </w:rPr>
              <w:t xml:space="preserve"> </w:t>
            </w:r>
            <w:r w:rsidRPr="008C06DF">
              <w:rPr>
                <w:rFonts w:ascii="Times New Roman" w:hAnsi="Times New Roman"/>
              </w:rPr>
              <w:t xml:space="preserve"> revenues from non-governmental sources in the university's revenue structure</w:t>
            </w:r>
          </w:p>
        </w:tc>
        <w:tc>
          <w:tcPr>
            <w:tcW w:w="580" w:type="pct"/>
            <w:vAlign w:val="center"/>
          </w:tcPr>
          <w:p w14:paraId="6EAE69D9"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80" w:type="pct"/>
          </w:tcPr>
          <w:p w14:paraId="341F9162"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39</w:t>
            </w:r>
          </w:p>
        </w:tc>
        <w:tc>
          <w:tcPr>
            <w:tcW w:w="578" w:type="pct"/>
          </w:tcPr>
          <w:p w14:paraId="3A19377E"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val="en-US" w:eastAsia="ru-RU"/>
              </w:rPr>
              <w:t>39</w:t>
            </w:r>
            <w:r w:rsidRPr="008C06DF">
              <w:rPr>
                <w:rFonts w:ascii="Times New Roman" w:eastAsia="Times New Roman" w:hAnsi="Times New Roman"/>
                <w:color w:val="000000"/>
                <w:lang w:eastAsia="ru-RU"/>
              </w:rPr>
              <w:t>.5</w:t>
            </w:r>
          </w:p>
        </w:tc>
      </w:tr>
      <w:tr w:rsidR="0049786C" w:rsidRPr="008C06DF" w14:paraId="5C17202B" w14:textId="77777777" w:rsidTr="009318D3">
        <w:tc>
          <w:tcPr>
            <w:tcW w:w="472" w:type="pct"/>
            <w:vAlign w:val="center"/>
          </w:tcPr>
          <w:p w14:paraId="6BFA8310"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8.</w:t>
            </w:r>
          </w:p>
        </w:tc>
        <w:tc>
          <w:tcPr>
            <w:tcW w:w="2790" w:type="pct"/>
          </w:tcPr>
          <w:p w14:paraId="0482F6BA" w14:textId="77777777" w:rsidR="0049786C" w:rsidRPr="0049786C" w:rsidRDefault="0049786C" w:rsidP="009318D3">
            <w:pPr>
              <w:spacing w:after="0" w:line="240" w:lineRule="auto"/>
              <w:rPr>
                <w:rFonts w:ascii="Times New Roman" w:hAnsi="Times New Roman"/>
                <w:lang w:val="ru-RU"/>
              </w:rPr>
            </w:pPr>
            <w:r w:rsidRPr="0049786C">
              <w:rPr>
                <w:rFonts w:ascii="Times New Roman" w:hAnsi="Times New Roman"/>
                <w:lang w:val="ru-RU"/>
              </w:rPr>
              <w:t>Доля обучающихся по программам магистратуры и подготовки научно-педагогических кадров в аспирантуре, имеющих диплом бакалавра, диплом специалиста или диплом магистра других организаций, в общей численности обучающихся по программам магистратуры и подготовки научно-педагогических кадров в аспирантуре</w:t>
            </w:r>
          </w:p>
        </w:tc>
        <w:tc>
          <w:tcPr>
            <w:tcW w:w="580" w:type="pct"/>
          </w:tcPr>
          <w:p w14:paraId="2F3FDF11" w14:textId="77777777" w:rsidR="0049786C" w:rsidRPr="008C06DF" w:rsidRDefault="0049786C" w:rsidP="009318D3">
            <w:pPr>
              <w:spacing w:line="240" w:lineRule="auto"/>
              <w:jc w:val="center"/>
              <w:rPr>
                <w:rFonts w:ascii="Times New Roman" w:hAnsi="Times New Roman"/>
              </w:rPr>
            </w:pPr>
            <w:r w:rsidRPr="008C06DF">
              <w:rPr>
                <w:rFonts w:ascii="Times New Roman" w:eastAsia="Times New Roman" w:hAnsi="Times New Roman"/>
                <w:color w:val="000000"/>
                <w:lang w:eastAsia="ru-RU"/>
              </w:rPr>
              <w:t>%</w:t>
            </w:r>
          </w:p>
        </w:tc>
        <w:tc>
          <w:tcPr>
            <w:tcW w:w="580" w:type="pct"/>
          </w:tcPr>
          <w:p w14:paraId="405D4A12"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40</w:t>
            </w:r>
          </w:p>
        </w:tc>
        <w:tc>
          <w:tcPr>
            <w:tcW w:w="578" w:type="pct"/>
          </w:tcPr>
          <w:p w14:paraId="55EF6589"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55.3</w:t>
            </w:r>
          </w:p>
        </w:tc>
      </w:tr>
      <w:tr w:rsidR="0049786C" w:rsidRPr="008C06DF" w14:paraId="69EA756F" w14:textId="77777777" w:rsidTr="009318D3">
        <w:tc>
          <w:tcPr>
            <w:tcW w:w="472" w:type="pct"/>
            <w:vAlign w:val="center"/>
          </w:tcPr>
          <w:p w14:paraId="7E3A04EF"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9.</w:t>
            </w:r>
          </w:p>
        </w:tc>
        <w:tc>
          <w:tcPr>
            <w:tcW w:w="2790" w:type="pct"/>
          </w:tcPr>
          <w:p w14:paraId="12DC3392"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R&amp;D revenue per faculty member</w:t>
            </w:r>
          </w:p>
        </w:tc>
        <w:tc>
          <w:tcPr>
            <w:tcW w:w="580" w:type="pct"/>
            <w:vAlign w:val="center"/>
          </w:tcPr>
          <w:p w14:paraId="24B32D5A"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 xml:space="preserve">thousands of </w:t>
            </w:r>
            <w:proofErr w:type="spellStart"/>
            <w:r w:rsidRPr="008C06DF">
              <w:rPr>
                <w:rFonts w:ascii="Times New Roman" w:hAnsi="Times New Roman"/>
              </w:rPr>
              <w:t>rubles</w:t>
            </w:r>
            <w:proofErr w:type="spellEnd"/>
          </w:p>
        </w:tc>
        <w:tc>
          <w:tcPr>
            <w:tcW w:w="580" w:type="pct"/>
          </w:tcPr>
          <w:p w14:paraId="08DF89D9" w14:textId="77777777" w:rsidR="0049786C" w:rsidRPr="008C06DF" w:rsidRDefault="0049786C" w:rsidP="009318D3">
            <w:pPr>
              <w:spacing w:after="0" w:line="240" w:lineRule="auto"/>
              <w:jc w:val="center"/>
              <w:rPr>
                <w:rFonts w:ascii="Times New Roman" w:eastAsia="Times New Roman" w:hAnsi="Times New Roman"/>
                <w:lang w:val="en-US"/>
              </w:rPr>
            </w:pPr>
            <w:r w:rsidRPr="008C06DF">
              <w:rPr>
                <w:rFonts w:ascii="Times New Roman" w:eastAsia="Times New Roman" w:hAnsi="Times New Roman"/>
                <w:lang w:val="en-US"/>
              </w:rPr>
              <w:t>1174.0</w:t>
            </w:r>
          </w:p>
        </w:tc>
        <w:tc>
          <w:tcPr>
            <w:tcW w:w="578" w:type="pct"/>
          </w:tcPr>
          <w:p w14:paraId="02B80D7F" w14:textId="77777777" w:rsidR="0049786C" w:rsidRPr="008C06DF" w:rsidRDefault="0049786C" w:rsidP="009318D3">
            <w:pPr>
              <w:spacing w:after="0" w:line="240" w:lineRule="auto"/>
              <w:jc w:val="center"/>
              <w:rPr>
                <w:rFonts w:ascii="Times New Roman" w:eastAsia="Times New Roman" w:hAnsi="Times New Roman"/>
                <w:color w:val="000000"/>
                <w:lang w:eastAsia="ru-RU"/>
              </w:rPr>
            </w:pPr>
            <w:r w:rsidRPr="008C06DF">
              <w:rPr>
                <w:rFonts w:ascii="Times New Roman" w:eastAsia="Times New Roman" w:hAnsi="Times New Roman"/>
                <w:color w:val="000000"/>
                <w:lang w:eastAsia="ru-RU"/>
              </w:rPr>
              <w:t>1174.8</w:t>
            </w:r>
          </w:p>
        </w:tc>
      </w:tr>
      <w:tr w:rsidR="0049786C" w:rsidRPr="008C06DF" w14:paraId="49AC4492" w14:textId="77777777" w:rsidTr="009318D3">
        <w:tc>
          <w:tcPr>
            <w:tcW w:w="3262" w:type="pct"/>
            <w:gridSpan w:val="2"/>
            <w:vAlign w:val="center"/>
          </w:tcPr>
          <w:p w14:paraId="62A81B49" w14:textId="77777777" w:rsidR="0049786C" w:rsidRPr="008C06DF" w:rsidRDefault="0049786C" w:rsidP="009318D3">
            <w:pPr>
              <w:spacing w:after="0" w:line="240" w:lineRule="auto"/>
              <w:rPr>
                <w:rFonts w:ascii="Times New Roman" w:hAnsi="Times New Roman"/>
                <w:b/>
              </w:rPr>
            </w:pPr>
            <w:r w:rsidRPr="008C06DF">
              <w:rPr>
                <w:rFonts w:ascii="Times New Roman" w:hAnsi="Times New Roman"/>
                <w:b/>
              </w:rPr>
              <w:t>Supplementary Indicators</w:t>
            </w:r>
          </w:p>
        </w:tc>
        <w:tc>
          <w:tcPr>
            <w:tcW w:w="580" w:type="pct"/>
            <w:vAlign w:val="center"/>
          </w:tcPr>
          <w:p w14:paraId="662BA8F1" w14:textId="77777777" w:rsidR="0049786C" w:rsidRPr="008C06DF" w:rsidRDefault="0049786C" w:rsidP="009318D3">
            <w:pPr>
              <w:spacing w:after="0" w:line="240" w:lineRule="auto"/>
              <w:jc w:val="center"/>
              <w:rPr>
                <w:rFonts w:ascii="Times New Roman" w:hAnsi="Times New Roman"/>
                <w:b/>
              </w:rPr>
            </w:pPr>
          </w:p>
        </w:tc>
        <w:tc>
          <w:tcPr>
            <w:tcW w:w="580" w:type="pct"/>
          </w:tcPr>
          <w:p w14:paraId="33FD1532" w14:textId="77777777" w:rsidR="0049786C" w:rsidRPr="008C06DF" w:rsidRDefault="0049786C" w:rsidP="009318D3">
            <w:pPr>
              <w:spacing w:after="0" w:line="240" w:lineRule="auto"/>
              <w:rPr>
                <w:rFonts w:ascii="Times New Roman" w:hAnsi="Times New Roman"/>
                <w:b/>
              </w:rPr>
            </w:pPr>
          </w:p>
        </w:tc>
        <w:tc>
          <w:tcPr>
            <w:tcW w:w="578" w:type="pct"/>
          </w:tcPr>
          <w:p w14:paraId="0F22EB5F" w14:textId="77777777" w:rsidR="0049786C" w:rsidRPr="008C06DF" w:rsidRDefault="0049786C" w:rsidP="009318D3">
            <w:pPr>
              <w:spacing w:after="0" w:line="240" w:lineRule="auto"/>
              <w:rPr>
                <w:rFonts w:ascii="Times New Roman" w:hAnsi="Times New Roman"/>
                <w:b/>
              </w:rPr>
            </w:pPr>
          </w:p>
        </w:tc>
      </w:tr>
      <w:tr w:rsidR="0049786C" w:rsidRPr="008C06DF" w14:paraId="2F00F97C" w14:textId="77777777" w:rsidTr="009318D3">
        <w:tc>
          <w:tcPr>
            <w:tcW w:w="472" w:type="pct"/>
            <w:vAlign w:val="center"/>
          </w:tcPr>
          <w:p w14:paraId="70CF838E" w14:textId="77777777" w:rsidR="0049786C" w:rsidRPr="008C06DF" w:rsidRDefault="0049786C" w:rsidP="009318D3">
            <w:pPr>
              <w:spacing w:after="0" w:line="240" w:lineRule="auto"/>
              <w:rPr>
                <w:rFonts w:ascii="Times New Roman" w:hAnsi="Times New Roman"/>
              </w:rPr>
            </w:pPr>
            <w:r>
              <w:rPr>
                <w:rFonts w:ascii="Times New Roman" w:hAnsi="Times New Roman"/>
              </w:rPr>
              <w:t>10</w:t>
            </w:r>
            <w:r w:rsidRPr="008C06DF">
              <w:rPr>
                <w:rFonts w:ascii="Times New Roman" w:hAnsi="Times New Roman"/>
              </w:rPr>
              <w:t>.</w:t>
            </w:r>
          </w:p>
        </w:tc>
        <w:tc>
          <w:tcPr>
            <w:tcW w:w="2790" w:type="pct"/>
          </w:tcPr>
          <w:p w14:paraId="63F6DBB7"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Full-time master's and PhD students, </w:t>
            </w:r>
            <w:proofErr w:type="spellStart"/>
            <w:r w:rsidRPr="008C06DF">
              <w:rPr>
                <w:rFonts w:ascii="Times New Roman" w:hAnsi="Times New Roman"/>
              </w:rPr>
              <w:t>percent</w:t>
            </w:r>
            <w:proofErr w:type="spellEnd"/>
            <w:r w:rsidRPr="008C06DF">
              <w:rPr>
                <w:rFonts w:ascii="Times New Roman" w:hAnsi="Times New Roman"/>
              </w:rPr>
              <w:t xml:space="preserve"> of the total full-time student population </w:t>
            </w:r>
          </w:p>
        </w:tc>
        <w:tc>
          <w:tcPr>
            <w:tcW w:w="580" w:type="pct"/>
            <w:vAlign w:val="center"/>
          </w:tcPr>
          <w:p w14:paraId="1057E25C"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80" w:type="pct"/>
            <w:vAlign w:val="center"/>
          </w:tcPr>
          <w:p w14:paraId="1693A5F6"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28.1</w:t>
            </w:r>
          </w:p>
        </w:tc>
        <w:tc>
          <w:tcPr>
            <w:tcW w:w="578" w:type="pct"/>
            <w:vAlign w:val="center"/>
          </w:tcPr>
          <w:p w14:paraId="39528D3C"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28.7</w:t>
            </w:r>
          </w:p>
        </w:tc>
      </w:tr>
      <w:tr w:rsidR="0049786C" w:rsidRPr="008C06DF" w14:paraId="19152870" w14:textId="77777777" w:rsidTr="009318D3">
        <w:tc>
          <w:tcPr>
            <w:tcW w:w="472" w:type="pct"/>
            <w:vAlign w:val="center"/>
          </w:tcPr>
          <w:p w14:paraId="536FD6D9"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w:t>
            </w:r>
            <w:r>
              <w:rPr>
                <w:rFonts w:ascii="Times New Roman" w:hAnsi="Times New Roman"/>
              </w:rPr>
              <w:t>1</w:t>
            </w:r>
            <w:r w:rsidRPr="008C06DF">
              <w:rPr>
                <w:rFonts w:ascii="Times New Roman" w:hAnsi="Times New Roman"/>
              </w:rPr>
              <w:t>.</w:t>
            </w:r>
          </w:p>
        </w:tc>
        <w:tc>
          <w:tcPr>
            <w:tcW w:w="2790" w:type="pct"/>
          </w:tcPr>
          <w:p w14:paraId="049223A5"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Credits received by students through participation in research, projects, and innovative activities out of the total number of credits received in core educational programs</w:t>
            </w:r>
          </w:p>
        </w:tc>
        <w:tc>
          <w:tcPr>
            <w:tcW w:w="580" w:type="pct"/>
            <w:vAlign w:val="center"/>
          </w:tcPr>
          <w:p w14:paraId="756E1820"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80" w:type="pct"/>
            <w:vAlign w:val="center"/>
          </w:tcPr>
          <w:p w14:paraId="1BA083C1"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19</w:t>
            </w:r>
          </w:p>
        </w:tc>
        <w:tc>
          <w:tcPr>
            <w:tcW w:w="578" w:type="pct"/>
            <w:vAlign w:val="center"/>
          </w:tcPr>
          <w:p w14:paraId="77EB4DD0"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19.4</w:t>
            </w:r>
          </w:p>
        </w:tc>
      </w:tr>
      <w:tr w:rsidR="0049786C" w:rsidRPr="008C06DF" w14:paraId="274A530A" w14:textId="77777777" w:rsidTr="009318D3">
        <w:tc>
          <w:tcPr>
            <w:tcW w:w="472" w:type="pct"/>
            <w:vAlign w:val="center"/>
          </w:tcPr>
          <w:p w14:paraId="5BBD1E89"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w:t>
            </w:r>
            <w:r>
              <w:rPr>
                <w:rFonts w:ascii="Times New Roman" w:hAnsi="Times New Roman"/>
              </w:rPr>
              <w:t>2</w:t>
            </w:r>
            <w:r w:rsidRPr="008C06DF">
              <w:rPr>
                <w:rFonts w:ascii="Times New Roman" w:hAnsi="Times New Roman"/>
              </w:rPr>
              <w:t>.</w:t>
            </w:r>
          </w:p>
        </w:tc>
        <w:tc>
          <w:tcPr>
            <w:tcW w:w="2790" w:type="pct"/>
          </w:tcPr>
          <w:p w14:paraId="01496369"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 xml:space="preserve">English-taught courses (worth more than two credits), </w:t>
            </w:r>
            <w:proofErr w:type="spellStart"/>
            <w:r w:rsidRPr="008C06DF">
              <w:rPr>
                <w:rFonts w:ascii="Times New Roman" w:hAnsi="Times New Roman"/>
              </w:rPr>
              <w:t>percent</w:t>
            </w:r>
            <w:proofErr w:type="spellEnd"/>
            <w:r w:rsidRPr="008C06DF">
              <w:rPr>
                <w:rFonts w:ascii="Times New Roman" w:hAnsi="Times New Roman"/>
              </w:rPr>
              <w:t xml:space="preserve"> of the total number of courses (worth more than two credits)</w:t>
            </w:r>
          </w:p>
        </w:tc>
        <w:tc>
          <w:tcPr>
            <w:tcW w:w="580" w:type="pct"/>
            <w:vAlign w:val="center"/>
          </w:tcPr>
          <w:p w14:paraId="77776D5C"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80" w:type="pct"/>
            <w:vAlign w:val="center"/>
          </w:tcPr>
          <w:p w14:paraId="3BAB67CC"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13</w:t>
            </w:r>
          </w:p>
        </w:tc>
        <w:tc>
          <w:tcPr>
            <w:tcW w:w="578" w:type="pct"/>
            <w:vAlign w:val="center"/>
          </w:tcPr>
          <w:p w14:paraId="39B9C86A"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18.7</w:t>
            </w:r>
          </w:p>
        </w:tc>
      </w:tr>
      <w:tr w:rsidR="0049786C" w:rsidRPr="008C06DF" w14:paraId="3A5CD678" w14:textId="77777777" w:rsidTr="009318D3">
        <w:tc>
          <w:tcPr>
            <w:tcW w:w="472" w:type="pct"/>
            <w:vAlign w:val="center"/>
          </w:tcPr>
          <w:p w14:paraId="696079E0"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1</w:t>
            </w:r>
            <w:r>
              <w:rPr>
                <w:rFonts w:ascii="Times New Roman" w:hAnsi="Times New Roman"/>
              </w:rPr>
              <w:t>3</w:t>
            </w:r>
            <w:r w:rsidRPr="008C06DF">
              <w:rPr>
                <w:rFonts w:ascii="Times New Roman" w:hAnsi="Times New Roman"/>
              </w:rPr>
              <w:t>.</w:t>
            </w:r>
          </w:p>
        </w:tc>
        <w:tc>
          <w:tcPr>
            <w:tcW w:w="2790" w:type="pct"/>
          </w:tcPr>
          <w:p w14:paraId="35307F03" w14:textId="77777777" w:rsidR="0049786C" w:rsidRPr="008C06DF" w:rsidRDefault="0049786C" w:rsidP="009318D3">
            <w:pPr>
              <w:spacing w:after="0" w:line="240" w:lineRule="auto"/>
              <w:rPr>
                <w:rFonts w:ascii="Times New Roman" w:hAnsi="Times New Roman"/>
              </w:rPr>
            </w:pPr>
            <w:r w:rsidRPr="008C06DF">
              <w:rPr>
                <w:rFonts w:ascii="Times New Roman" w:hAnsi="Times New Roman"/>
              </w:rPr>
              <w:t>University expenditures allocated for implementing strategic initiatives (out of total expenditures)</w:t>
            </w:r>
          </w:p>
        </w:tc>
        <w:tc>
          <w:tcPr>
            <w:tcW w:w="580" w:type="pct"/>
            <w:vAlign w:val="center"/>
          </w:tcPr>
          <w:p w14:paraId="20855A80"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w:t>
            </w:r>
          </w:p>
        </w:tc>
        <w:tc>
          <w:tcPr>
            <w:tcW w:w="580" w:type="pct"/>
            <w:vAlign w:val="center"/>
          </w:tcPr>
          <w:p w14:paraId="36EDB41F" w14:textId="77777777" w:rsidR="0049786C" w:rsidRPr="008C06DF" w:rsidRDefault="0049786C" w:rsidP="009318D3">
            <w:pPr>
              <w:spacing w:after="0" w:line="240" w:lineRule="auto"/>
              <w:jc w:val="center"/>
              <w:rPr>
                <w:rFonts w:ascii="Times New Roman" w:eastAsia="Times New Roman" w:hAnsi="Times New Roman"/>
              </w:rPr>
            </w:pPr>
            <w:proofErr w:type="spellStart"/>
            <w:r w:rsidRPr="008C06DF">
              <w:rPr>
                <w:rFonts w:ascii="Times New Roman" w:eastAsia="Times New Roman" w:hAnsi="Times New Roman"/>
              </w:rPr>
              <w:t>не</w:t>
            </w:r>
            <w:proofErr w:type="spellEnd"/>
            <w:r w:rsidRPr="008C06DF">
              <w:rPr>
                <w:rFonts w:ascii="Times New Roman" w:eastAsia="Times New Roman" w:hAnsi="Times New Roman"/>
              </w:rPr>
              <w:t xml:space="preserve"> </w:t>
            </w:r>
            <w:proofErr w:type="spellStart"/>
            <w:r w:rsidRPr="008C06DF">
              <w:rPr>
                <w:rFonts w:ascii="Times New Roman" w:eastAsia="Times New Roman" w:hAnsi="Times New Roman"/>
              </w:rPr>
              <w:t>менее</w:t>
            </w:r>
            <w:proofErr w:type="spellEnd"/>
          </w:p>
          <w:p w14:paraId="5823D803" w14:textId="77777777" w:rsidR="0049786C" w:rsidRPr="008C06DF" w:rsidRDefault="0049786C" w:rsidP="009318D3">
            <w:pPr>
              <w:spacing w:after="0" w:line="240" w:lineRule="auto"/>
              <w:jc w:val="center"/>
              <w:rPr>
                <w:rFonts w:ascii="Times New Roman" w:eastAsia="Times New Roman" w:hAnsi="Times New Roman"/>
              </w:rPr>
            </w:pPr>
            <w:r w:rsidRPr="008C06DF">
              <w:rPr>
                <w:rFonts w:ascii="Times New Roman" w:eastAsia="Times New Roman" w:hAnsi="Times New Roman"/>
              </w:rPr>
              <w:t>25</w:t>
            </w:r>
          </w:p>
        </w:tc>
        <w:tc>
          <w:tcPr>
            <w:tcW w:w="578" w:type="pct"/>
            <w:vAlign w:val="center"/>
          </w:tcPr>
          <w:p w14:paraId="7222C141" w14:textId="77777777" w:rsidR="0049786C" w:rsidRPr="008C06DF" w:rsidRDefault="0049786C" w:rsidP="009318D3">
            <w:pPr>
              <w:spacing w:after="0" w:line="240" w:lineRule="auto"/>
              <w:jc w:val="center"/>
              <w:rPr>
                <w:rFonts w:ascii="Times New Roman" w:hAnsi="Times New Roman"/>
              </w:rPr>
            </w:pPr>
            <w:r w:rsidRPr="008C06DF">
              <w:rPr>
                <w:rFonts w:ascii="Times New Roman" w:hAnsi="Times New Roman"/>
              </w:rPr>
              <w:t>25.8</w:t>
            </w:r>
          </w:p>
        </w:tc>
      </w:tr>
    </w:tbl>
    <w:p w14:paraId="605DC0F2" w14:textId="77777777" w:rsidR="00F96B61" w:rsidRPr="00411CFF" w:rsidRDefault="00F96B61" w:rsidP="0051131B">
      <w:pPr>
        <w:spacing w:after="0"/>
        <w:ind w:firstLine="720"/>
        <w:jc w:val="both"/>
        <w:rPr>
          <w:rFonts w:ascii="Times New Roman" w:hAnsi="Times New Roman"/>
          <w:sz w:val="24"/>
        </w:rPr>
      </w:pPr>
    </w:p>
    <w:p w14:paraId="07BFE83F" w14:textId="1436D6A0" w:rsidR="00A81AB2" w:rsidRPr="00411CFF" w:rsidRDefault="00A81AB2" w:rsidP="0051131B">
      <w:pPr>
        <w:spacing w:after="0"/>
        <w:ind w:firstLine="720"/>
        <w:jc w:val="both"/>
        <w:rPr>
          <w:rFonts w:ascii="Times New Roman" w:hAnsi="Times New Roman"/>
          <w:sz w:val="24"/>
          <w:szCs w:val="24"/>
        </w:rPr>
      </w:pPr>
      <w:r w:rsidRPr="00411CFF">
        <w:rPr>
          <w:rFonts w:ascii="Times New Roman" w:hAnsi="Times New Roman"/>
          <w:sz w:val="24"/>
        </w:rPr>
        <w:t xml:space="preserve">In 2016, most </w:t>
      </w:r>
      <w:r w:rsidR="00A47616" w:rsidRPr="00411CFF">
        <w:rPr>
          <w:rFonts w:ascii="Times New Roman" w:hAnsi="Times New Roman"/>
          <w:sz w:val="24"/>
        </w:rPr>
        <w:t xml:space="preserve">of the </w:t>
      </w:r>
      <w:r w:rsidRPr="00411CFF">
        <w:rPr>
          <w:rFonts w:ascii="Times New Roman" w:hAnsi="Times New Roman"/>
          <w:sz w:val="24"/>
        </w:rPr>
        <w:t>target indicator</w:t>
      </w:r>
      <w:r w:rsidR="00D33E12">
        <w:rPr>
          <w:rFonts w:ascii="Times New Roman" w:hAnsi="Times New Roman"/>
          <w:sz w:val="24"/>
        </w:rPr>
        <w:t>s</w:t>
      </w:r>
      <w:r w:rsidRPr="00411CFF">
        <w:rPr>
          <w:rFonts w:ascii="Times New Roman" w:hAnsi="Times New Roman"/>
          <w:sz w:val="24"/>
        </w:rPr>
        <w:t xml:space="preserve"> (except</w:t>
      </w:r>
      <w:r w:rsidR="00A47616" w:rsidRPr="00411CFF">
        <w:rPr>
          <w:rFonts w:ascii="Times New Roman" w:hAnsi="Times New Roman"/>
          <w:sz w:val="24"/>
        </w:rPr>
        <w:t xml:space="preserve"> for</w:t>
      </w:r>
      <w:r w:rsidRPr="00411CFF">
        <w:rPr>
          <w:rFonts w:ascii="Times New Roman" w:hAnsi="Times New Roman"/>
          <w:sz w:val="24"/>
        </w:rPr>
        <w:t xml:space="preserve"> global institutional rankings) were met</w:t>
      </w:r>
      <w:r w:rsidR="004706CA">
        <w:rPr>
          <w:rFonts w:ascii="Times New Roman" w:hAnsi="Times New Roman"/>
          <w:sz w:val="24"/>
        </w:rPr>
        <w:t xml:space="preserve"> or exceeded</w:t>
      </w:r>
      <w:r w:rsidR="00A47616" w:rsidRPr="00411CFF">
        <w:rPr>
          <w:rFonts w:ascii="Times New Roman" w:hAnsi="Times New Roman"/>
          <w:sz w:val="24"/>
        </w:rPr>
        <w:t xml:space="preserve">. </w:t>
      </w:r>
      <w:r w:rsidR="00156A75" w:rsidRPr="00411CFF">
        <w:rPr>
          <w:rFonts w:ascii="Times New Roman" w:hAnsi="Times New Roman"/>
          <w:sz w:val="24"/>
        </w:rPr>
        <w:t>HSE’s</w:t>
      </w:r>
      <w:r w:rsidR="00AB51F6" w:rsidRPr="00411CFF">
        <w:rPr>
          <w:rFonts w:ascii="Times New Roman" w:hAnsi="Times New Roman"/>
          <w:sz w:val="24"/>
        </w:rPr>
        <w:t xml:space="preserve"> </w:t>
      </w:r>
      <w:r w:rsidRPr="00411CFF">
        <w:rPr>
          <w:rFonts w:ascii="Times New Roman" w:hAnsi="Times New Roman"/>
          <w:sz w:val="24"/>
        </w:rPr>
        <w:t xml:space="preserve">positions in top global rankings by field and subject have </w:t>
      </w:r>
      <w:r w:rsidR="00286C5E" w:rsidRPr="00411CFF">
        <w:rPr>
          <w:rFonts w:ascii="Times New Roman" w:hAnsi="Times New Roman"/>
          <w:sz w:val="24"/>
        </w:rPr>
        <w:t xml:space="preserve">significantly </w:t>
      </w:r>
      <w:r w:rsidR="00212DDC">
        <w:rPr>
          <w:rFonts w:ascii="Times New Roman" w:hAnsi="Times New Roman"/>
          <w:sz w:val="24"/>
        </w:rPr>
        <w:t xml:space="preserve">improved </w:t>
      </w:r>
      <w:r w:rsidR="006C06DC">
        <w:rPr>
          <w:rFonts w:ascii="Times New Roman" w:hAnsi="Times New Roman"/>
          <w:sz w:val="24"/>
        </w:rPr>
        <w:t>and exceeded the target values</w:t>
      </w:r>
      <w:r w:rsidR="00286C5E" w:rsidRPr="00411CFF">
        <w:rPr>
          <w:rFonts w:ascii="Times New Roman" w:hAnsi="Times New Roman"/>
          <w:sz w:val="24"/>
        </w:rPr>
        <w:t>.</w:t>
      </w:r>
      <w:r w:rsidRPr="00411CFF">
        <w:rPr>
          <w:rFonts w:ascii="Times New Roman" w:hAnsi="Times New Roman"/>
          <w:sz w:val="24"/>
        </w:rPr>
        <w:t xml:space="preserve"> </w:t>
      </w:r>
    </w:p>
    <w:p w14:paraId="683D74AD" w14:textId="28456FE6" w:rsidR="00A81AB2" w:rsidRPr="00411CFF" w:rsidRDefault="0071414A" w:rsidP="0051131B">
      <w:pPr>
        <w:spacing w:after="0"/>
        <w:ind w:firstLine="720"/>
        <w:jc w:val="both"/>
        <w:rPr>
          <w:rFonts w:ascii="Times New Roman" w:hAnsi="Times New Roman"/>
          <w:sz w:val="24"/>
          <w:szCs w:val="24"/>
        </w:rPr>
      </w:pPr>
      <w:r w:rsidRPr="00411CFF">
        <w:rPr>
          <w:rFonts w:ascii="Times New Roman" w:hAnsi="Times New Roman"/>
          <w:sz w:val="24"/>
        </w:rPr>
        <w:t xml:space="preserve">HSE </w:t>
      </w:r>
      <w:r w:rsidR="00D33E12">
        <w:rPr>
          <w:rFonts w:ascii="Times New Roman" w:hAnsi="Times New Roman"/>
          <w:sz w:val="24"/>
        </w:rPr>
        <w:t xml:space="preserve">is the only Russian university ranked in the Top-100 (#83) in global Business and Economics Rankings </w:t>
      </w:r>
      <w:r w:rsidRPr="00411CFF">
        <w:rPr>
          <w:rFonts w:ascii="Times New Roman" w:hAnsi="Times New Roman"/>
          <w:sz w:val="24"/>
        </w:rPr>
        <w:t>in the</w:t>
      </w:r>
      <w:r w:rsidR="0053747A" w:rsidRPr="00411CFF">
        <w:rPr>
          <w:rFonts w:ascii="Times New Roman" w:hAnsi="Times New Roman"/>
          <w:sz w:val="24"/>
        </w:rPr>
        <w:t xml:space="preserve"> Times Higher Education.</w:t>
      </w:r>
    </w:p>
    <w:p w14:paraId="18B20F1B" w14:textId="3281DC1A" w:rsidR="00A81AB2" w:rsidRPr="00411CFF" w:rsidRDefault="00A81AB2" w:rsidP="0051131B">
      <w:pPr>
        <w:spacing w:after="0"/>
        <w:ind w:firstLine="720"/>
        <w:jc w:val="both"/>
        <w:rPr>
          <w:rFonts w:ascii="Times New Roman" w:hAnsi="Times New Roman"/>
          <w:sz w:val="24"/>
          <w:szCs w:val="24"/>
        </w:rPr>
      </w:pPr>
      <w:r w:rsidRPr="00411CFF">
        <w:rPr>
          <w:rFonts w:ascii="Times New Roman" w:hAnsi="Times New Roman"/>
          <w:sz w:val="24"/>
        </w:rPr>
        <w:lastRenderedPageBreak/>
        <w:t>The university</w:t>
      </w:r>
      <w:r w:rsidR="0071414A" w:rsidRPr="00411CFF">
        <w:rPr>
          <w:rFonts w:ascii="Times New Roman" w:hAnsi="Times New Roman"/>
          <w:sz w:val="24"/>
        </w:rPr>
        <w:t xml:space="preserve"> </w:t>
      </w:r>
      <w:r w:rsidR="00564D3C">
        <w:rPr>
          <w:rFonts w:ascii="Times New Roman" w:hAnsi="Times New Roman"/>
          <w:sz w:val="24"/>
        </w:rPr>
        <w:t>continuously</w:t>
      </w:r>
      <w:r w:rsidR="00442F69">
        <w:rPr>
          <w:rFonts w:ascii="Times New Roman" w:hAnsi="Times New Roman"/>
          <w:sz w:val="24"/>
        </w:rPr>
        <w:t xml:space="preserve"> </w:t>
      </w:r>
      <w:r w:rsidR="00564D3C">
        <w:rPr>
          <w:rFonts w:ascii="Times New Roman" w:hAnsi="Times New Roman"/>
          <w:sz w:val="24"/>
        </w:rPr>
        <w:t xml:space="preserve">increases the number of ranked programs and </w:t>
      </w:r>
      <w:r w:rsidR="00442F69">
        <w:rPr>
          <w:rFonts w:ascii="Times New Roman" w:hAnsi="Times New Roman"/>
          <w:sz w:val="24"/>
        </w:rPr>
        <w:t>improves</w:t>
      </w:r>
      <w:r w:rsidRPr="00411CFF">
        <w:rPr>
          <w:rFonts w:ascii="Times New Roman" w:hAnsi="Times New Roman"/>
          <w:sz w:val="24"/>
        </w:rPr>
        <w:t xml:space="preserve"> global rankings by field and subject</w:t>
      </w:r>
      <w:r w:rsidR="00C823F4" w:rsidRPr="00411CFF">
        <w:rPr>
          <w:rFonts w:ascii="Times New Roman" w:hAnsi="Times New Roman"/>
          <w:sz w:val="24"/>
        </w:rPr>
        <w:t xml:space="preserve">. </w:t>
      </w:r>
      <w:r w:rsidR="00212DDC">
        <w:rPr>
          <w:rFonts w:ascii="Times New Roman" w:hAnsi="Times New Roman"/>
          <w:sz w:val="24"/>
        </w:rPr>
        <w:t>In</w:t>
      </w:r>
      <w:r w:rsidRPr="00411CFF">
        <w:rPr>
          <w:rFonts w:ascii="Times New Roman" w:hAnsi="Times New Roman"/>
          <w:sz w:val="24"/>
        </w:rPr>
        <w:t xml:space="preserve"> 2015</w:t>
      </w:r>
      <w:r w:rsidR="00564D3C">
        <w:rPr>
          <w:rFonts w:ascii="Times New Roman" w:hAnsi="Times New Roman"/>
          <w:sz w:val="24"/>
        </w:rPr>
        <w:t xml:space="preserve"> </w:t>
      </w:r>
      <w:r w:rsidR="0071414A" w:rsidRPr="00411CFF">
        <w:rPr>
          <w:rFonts w:ascii="Times New Roman" w:hAnsi="Times New Roman"/>
          <w:sz w:val="24"/>
        </w:rPr>
        <w:t>HSE</w:t>
      </w:r>
      <w:r w:rsidRPr="00411CFF">
        <w:rPr>
          <w:rFonts w:ascii="Times New Roman" w:hAnsi="Times New Roman"/>
          <w:sz w:val="24"/>
        </w:rPr>
        <w:t xml:space="preserve"> was represented in </w:t>
      </w:r>
      <w:r w:rsidR="000642F6" w:rsidRPr="00411CFF">
        <w:rPr>
          <w:rFonts w:ascii="Times New Roman" w:hAnsi="Times New Roman"/>
          <w:sz w:val="24"/>
        </w:rPr>
        <w:t xml:space="preserve">only </w:t>
      </w:r>
      <w:r w:rsidR="0071414A" w:rsidRPr="00411CFF">
        <w:rPr>
          <w:rFonts w:ascii="Times New Roman" w:hAnsi="Times New Roman"/>
          <w:sz w:val="24"/>
        </w:rPr>
        <w:t xml:space="preserve">six </w:t>
      </w:r>
      <w:r w:rsidRPr="00411CFF">
        <w:rPr>
          <w:rFonts w:ascii="Times New Roman" w:hAnsi="Times New Roman"/>
          <w:sz w:val="24"/>
        </w:rPr>
        <w:t>rankings by field and subject</w:t>
      </w:r>
      <w:r w:rsidR="00212DDC">
        <w:rPr>
          <w:rFonts w:ascii="Times New Roman" w:hAnsi="Times New Roman"/>
          <w:sz w:val="24"/>
        </w:rPr>
        <w:t xml:space="preserve"> and</w:t>
      </w:r>
      <w:r w:rsidR="00564D3C">
        <w:rPr>
          <w:rFonts w:ascii="Times New Roman" w:hAnsi="Times New Roman"/>
          <w:sz w:val="24"/>
        </w:rPr>
        <w:t xml:space="preserve"> in 2016, HSE and its programs have got 12 rankings. </w:t>
      </w:r>
    </w:p>
    <w:p w14:paraId="01FA34C3" w14:textId="5CDC5EA7" w:rsidR="00A81AB2" w:rsidRPr="00411CFF" w:rsidRDefault="00FF273D" w:rsidP="0051131B">
      <w:pPr>
        <w:spacing w:after="0"/>
        <w:ind w:firstLine="720"/>
        <w:jc w:val="both"/>
        <w:rPr>
          <w:rFonts w:ascii="Times New Roman" w:hAnsi="Times New Roman"/>
          <w:sz w:val="24"/>
          <w:szCs w:val="24"/>
        </w:rPr>
      </w:pPr>
      <w:r>
        <w:rPr>
          <w:rFonts w:ascii="Times New Roman" w:hAnsi="Times New Roman"/>
          <w:sz w:val="24"/>
        </w:rPr>
        <w:t xml:space="preserve">Three </w:t>
      </w:r>
      <w:r w:rsidR="00A81AB2" w:rsidRPr="00411CFF">
        <w:rPr>
          <w:rFonts w:ascii="Times New Roman" w:hAnsi="Times New Roman"/>
          <w:sz w:val="24"/>
        </w:rPr>
        <w:t xml:space="preserve">HSE </w:t>
      </w:r>
      <w:r w:rsidR="004706CA">
        <w:rPr>
          <w:rFonts w:ascii="Times New Roman" w:hAnsi="Times New Roman"/>
          <w:sz w:val="24"/>
        </w:rPr>
        <w:t>discipline</w:t>
      </w:r>
      <w:r>
        <w:rPr>
          <w:rFonts w:ascii="Times New Roman" w:hAnsi="Times New Roman"/>
          <w:sz w:val="24"/>
        </w:rPr>
        <w:t xml:space="preserve">s are ranked in </w:t>
      </w:r>
      <w:r w:rsidR="00C66B29" w:rsidRPr="00DD4B8A">
        <w:rPr>
          <w:rFonts w:ascii="Times New Roman" w:hAnsi="Times New Roman"/>
          <w:sz w:val="24"/>
        </w:rPr>
        <w:t>Top-150</w:t>
      </w:r>
      <w:r w:rsidR="00C66B29">
        <w:rPr>
          <w:rFonts w:ascii="Times New Roman" w:hAnsi="Times New Roman"/>
          <w:sz w:val="24"/>
        </w:rPr>
        <w:t xml:space="preserve"> </w:t>
      </w:r>
      <w:r>
        <w:rPr>
          <w:rFonts w:ascii="Times New Roman" w:hAnsi="Times New Roman"/>
          <w:sz w:val="24"/>
        </w:rPr>
        <w:t xml:space="preserve">by the </w:t>
      </w:r>
      <w:r w:rsidR="00A81AB2" w:rsidRPr="00411CFF">
        <w:rPr>
          <w:rFonts w:ascii="Times New Roman" w:hAnsi="Times New Roman"/>
          <w:sz w:val="24"/>
        </w:rPr>
        <w:t>QS</w:t>
      </w:r>
      <w:r w:rsidR="00347B24" w:rsidRPr="00411CFF">
        <w:rPr>
          <w:rFonts w:ascii="Times New Roman" w:hAnsi="Times New Roman"/>
          <w:sz w:val="24"/>
        </w:rPr>
        <w:t xml:space="preserve">. For </w:t>
      </w:r>
      <w:r>
        <w:rPr>
          <w:rFonts w:ascii="Times New Roman" w:hAnsi="Times New Roman"/>
          <w:sz w:val="24"/>
        </w:rPr>
        <w:t>example</w:t>
      </w:r>
      <w:r w:rsidR="00347B24" w:rsidRPr="00411CFF">
        <w:rPr>
          <w:rFonts w:ascii="Times New Roman" w:hAnsi="Times New Roman"/>
          <w:sz w:val="24"/>
        </w:rPr>
        <w:t xml:space="preserve">, </w:t>
      </w:r>
      <w:r w:rsidR="008C1A00" w:rsidRPr="00411CFF">
        <w:rPr>
          <w:rFonts w:ascii="Times New Roman" w:hAnsi="Times New Roman"/>
          <w:sz w:val="24"/>
        </w:rPr>
        <w:t>the university</w:t>
      </w:r>
      <w:r w:rsidR="00A81AB2" w:rsidRPr="00411CFF">
        <w:rPr>
          <w:rFonts w:ascii="Times New Roman" w:hAnsi="Times New Roman"/>
          <w:sz w:val="24"/>
        </w:rPr>
        <w:t xml:space="preserve"> has </w:t>
      </w:r>
      <w:r>
        <w:rPr>
          <w:rFonts w:ascii="Times New Roman" w:hAnsi="Times New Roman"/>
          <w:sz w:val="24"/>
        </w:rPr>
        <w:t xml:space="preserve">moved 50 ranks up </w:t>
      </w:r>
      <w:r w:rsidR="004706CA">
        <w:rPr>
          <w:rFonts w:ascii="Times New Roman" w:hAnsi="Times New Roman"/>
          <w:sz w:val="24"/>
        </w:rPr>
        <w:t xml:space="preserve">in QS </w:t>
      </w:r>
      <w:r w:rsidR="00A81AB2" w:rsidRPr="00411CFF">
        <w:rPr>
          <w:rFonts w:ascii="Times New Roman" w:hAnsi="Times New Roman"/>
          <w:sz w:val="24"/>
        </w:rPr>
        <w:t xml:space="preserve">in Economics &amp; Econometrics and Sociology since 2015 and is currently ranked </w:t>
      </w:r>
      <w:r w:rsidR="00F6489B" w:rsidRPr="00411CFF">
        <w:rPr>
          <w:rFonts w:ascii="Times New Roman" w:hAnsi="Times New Roman"/>
          <w:sz w:val="24"/>
        </w:rPr>
        <w:t xml:space="preserve">No. 1 </w:t>
      </w:r>
      <w:r w:rsidR="00A81AB2" w:rsidRPr="00411CFF">
        <w:rPr>
          <w:rFonts w:ascii="Times New Roman" w:hAnsi="Times New Roman"/>
          <w:sz w:val="24"/>
        </w:rPr>
        <w:t>among Russian universities</w:t>
      </w:r>
      <w:r w:rsidR="00F6489B" w:rsidRPr="00411CFF">
        <w:rPr>
          <w:rFonts w:ascii="Times New Roman" w:hAnsi="Times New Roman"/>
          <w:sz w:val="24"/>
        </w:rPr>
        <w:t xml:space="preserve">. </w:t>
      </w:r>
      <w:r w:rsidR="00106C6B" w:rsidRPr="00411CFF">
        <w:rPr>
          <w:rFonts w:ascii="Times New Roman" w:hAnsi="Times New Roman"/>
          <w:sz w:val="24"/>
        </w:rPr>
        <w:t>Also</w:t>
      </w:r>
      <w:r w:rsidR="00F6489B" w:rsidRPr="00411CFF">
        <w:rPr>
          <w:rFonts w:ascii="Times New Roman" w:hAnsi="Times New Roman"/>
          <w:sz w:val="24"/>
        </w:rPr>
        <w:t xml:space="preserve">, </w:t>
      </w:r>
      <w:r w:rsidRPr="00411CFF">
        <w:rPr>
          <w:rFonts w:ascii="Times New Roman" w:hAnsi="Times New Roman"/>
          <w:sz w:val="24"/>
        </w:rPr>
        <w:t xml:space="preserve">the Politics &amp; International Studies </w:t>
      </w:r>
      <w:r>
        <w:rPr>
          <w:rFonts w:ascii="Times New Roman" w:hAnsi="Times New Roman"/>
          <w:sz w:val="24"/>
        </w:rPr>
        <w:t xml:space="preserve">was ranked </w:t>
      </w:r>
      <w:r w:rsidR="00A81AB2" w:rsidRPr="00411CFF">
        <w:rPr>
          <w:rFonts w:ascii="Times New Roman" w:hAnsi="Times New Roman"/>
          <w:sz w:val="24"/>
        </w:rPr>
        <w:t xml:space="preserve">for the first time and </w:t>
      </w:r>
      <w:r>
        <w:rPr>
          <w:rFonts w:ascii="Times New Roman" w:hAnsi="Times New Roman"/>
          <w:sz w:val="24"/>
        </w:rPr>
        <w:t xml:space="preserve">is </w:t>
      </w:r>
      <w:r w:rsidR="003E09A4" w:rsidRPr="00411CFF">
        <w:rPr>
          <w:rFonts w:ascii="Times New Roman" w:hAnsi="Times New Roman"/>
          <w:sz w:val="24"/>
        </w:rPr>
        <w:t>currently second among</w:t>
      </w:r>
      <w:r w:rsidR="00A81AB2" w:rsidRPr="00411CFF">
        <w:rPr>
          <w:rFonts w:ascii="Times New Roman" w:hAnsi="Times New Roman"/>
          <w:sz w:val="24"/>
        </w:rPr>
        <w:t xml:space="preserve"> Russian universities. </w:t>
      </w:r>
    </w:p>
    <w:p w14:paraId="76C6C7EC" w14:textId="65E50CE2" w:rsidR="00A81AB2" w:rsidRPr="00411CFF" w:rsidRDefault="00FF273D" w:rsidP="0051131B">
      <w:pPr>
        <w:spacing w:after="0"/>
        <w:ind w:firstLine="720"/>
        <w:jc w:val="both"/>
        <w:rPr>
          <w:rFonts w:ascii="Times New Roman" w:hAnsi="Times New Roman"/>
          <w:sz w:val="24"/>
          <w:szCs w:val="24"/>
        </w:rPr>
      </w:pPr>
      <w:r>
        <w:rPr>
          <w:rFonts w:ascii="Times New Roman" w:hAnsi="Times New Roman"/>
          <w:sz w:val="24"/>
        </w:rPr>
        <w:t xml:space="preserve">In three subjects </w:t>
      </w:r>
      <w:r w:rsidR="00521245" w:rsidRPr="00411CFF">
        <w:rPr>
          <w:rFonts w:ascii="Times New Roman" w:hAnsi="Times New Roman"/>
          <w:sz w:val="24"/>
        </w:rPr>
        <w:t xml:space="preserve">HSE </w:t>
      </w:r>
      <w:r>
        <w:rPr>
          <w:rFonts w:ascii="Times New Roman" w:hAnsi="Times New Roman"/>
          <w:sz w:val="24"/>
        </w:rPr>
        <w:t xml:space="preserve">is ranked </w:t>
      </w:r>
      <w:r w:rsidR="005D7296">
        <w:rPr>
          <w:rFonts w:ascii="Times New Roman" w:hAnsi="Times New Roman"/>
          <w:sz w:val="24"/>
        </w:rPr>
        <w:t xml:space="preserve">in Top-200 by </w:t>
      </w:r>
      <w:r w:rsidR="004706CA">
        <w:rPr>
          <w:rFonts w:ascii="Times New Roman" w:hAnsi="Times New Roman"/>
          <w:sz w:val="24"/>
        </w:rPr>
        <w:t xml:space="preserve">the </w:t>
      </w:r>
      <w:r w:rsidR="00521245" w:rsidRPr="00411CFF">
        <w:rPr>
          <w:rFonts w:ascii="Times New Roman" w:hAnsi="Times New Roman"/>
          <w:sz w:val="24"/>
        </w:rPr>
        <w:t>QS</w:t>
      </w:r>
      <w:r w:rsidR="00566715">
        <w:rPr>
          <w:rFonts w:ascii="Times New Roman" w:hAnsi="Times New Roman"/>
          <w:sz w:val="24"/>
        </w:rPr>
        <w:t>:</w:t>
      </w:r>
      <w:r w:rsidR="0002237C" w:rsidRPr="00411CFF">
        <w:rPr>
          <w:rFonts w:ascii="Times New Roman" w:hAnsi="Times New Roman"/>
          <w:sz w:val="24"/>
        </w:rPr>
        <w:t xml:space="preserve"> the</w:t>
      </w:r>
      <w:r w:rsidR="00521245" w:rsidRPr="00411CFF">
        <w:rPr>
          <w:rFonts w:ascii="Times New Roman" w:hAnsi="Times New Roman"/>
          <w:sz w:val="24"/>
        </w:rPr>
        <w:t xml:space="preserve"> university</w:t>
      </w:r>
      <w:r w:rsidR="00F3733D">
        <w:rPr>
          <w:rFonts w:ascii="Times New Roman" w:hAnsi="Times New Roman"/>
          <w:sz w:val="24"/>
        </w:rPr>
        <w:t>’s programs</w:t>
      </w:r>
      <w:r w:rsidR="00521245" w:rsidRPr="00411CFF">
        <w:rPr>
          <w:rFonts w:ascii="Times New Roman" w:hAnsi="Times New Roman"/>
          <w:sz w:val="24"/>
        </w:rPr>
        <w:t xml:space="preserve"> in Business &amp; Management </w:t>
      </w:r>
      <w:r w:rsidR="00894CB9" w:rsidRPr="00411CFF">
        <w:rPr>
          <w:rFonts w:ascii="Times New Roman" w:hAnsi="Times New Roman"/>
          <w:sz w:val="24"/>
        </w:rPr>
        <w:t xml:space="preserve">and </w:t>
      </w:r>
      <w:r w:rsidR="00521245" w:rsidRPr="00411CFF">
        <w:rPr>
          <w:rFonts w:ascii="Times New Roman" w:hAnsi="Times New Roman"/>
          <w:sz w:val="24"/>
        </w:rPr>
        <w:t xml:space="preserve">Accounting &amp; Finance </w:t>
      </w:r>
      <w:r w:rsidR="00F3733D">
        <w:rPr>
          <w:rFonts w:ascii="Times New Roman" w:hAnsi="Times New Roman"/>
          <w:sz w:val="24"/>
        </w:rPr>
        <w:t xml:space="preserve">were ranked </w:t>
      </w:r>
      <w:r w:rsidR="00521245" w:rsidRPr="00411CFF">
        <w:rPr>
          <w:rFonts w:ascii="Times New Roman" w:hAnsi="Times New Roman"/>
          <w:sz w:val="24"/>
        </w:rPr>
        <w:t xml:space="preserve">for the first time </w:t>
      </w:r>
      <w:r w:rsidR="00F3733D">
        <w:rPr>
          <w:rFonts w:ascii="Times New Roman" w:hAnsi="Times New Roman"/>
          <w:sz w:val="24"/>
        </w:rPr>
        <w:t>by the QS and HSE is</w:t>
      </w:r>
      <w:r w:rsidR="00F3733D" w:rsidRPr="00411CFF">
        <w:rPr>
          <w:rFonts w:ascii="Times New Roman" w:hAnsi="Times New Roman"/>
          <w:sz w:val="24"/>
        </w:rPr>
        <w:t xml:space="preserve"> </w:t>
      </w:r>
      <w:r w:rsidR="00521245" w:rsidRPr="00411CFF">
        <w:rPr>
          <w:rFonts w:ascii="Times New Roman" w:hAnsi="Times New Roman"/>
          <w:sz w:val="24"/>
        </w:rPr>
        <w:t>the only Russian university to appear in th</w:t>
      </w:r>
      <w:r w:rsidR="00F3733D">
        <w:rPr>
          <w:rFonts w:ascii="Times New Roman" w:hAnsi="Times New Roman"/>
          <w:sz w:val="24"/>
        </w:rPr>
        <w:t>o</w:t>
      </w:r>
      <w:r w:rsidR="00521245" w:rsidRPr="00411CFF">
        <w:rPr>
          <w:rFonts w:ascii="Times New Roman" w:hAnsi="Times New Roman"/>
          <w:sz w:val="24"/>
        </w:rPr>
        <w:t>s</w:t>
      </w:r>
      <w:r w:rsidR="00F3733D">
        <w:rPr>
          <w:rFonts w:ascii="Times New Roman" w:hAnsi="Times New Roman"/>
          <w:sz w:val="24"/>
        </w:rPr>
        <w:t>e</w:t>
      </w:r>
      <w:r w:rsidR="00521245" w:rsidRPr="00411CFF">
        <w:rPr>
          <w:rFonts w:ascii="Times New Roman" w:hAnsi="Times New Roman"/>
          <w:sz w:val="24"/>
        </w:rPr>
        <w:t xml:space="preserve"> categor</w:t>
      </w:r>
      <w:r w:rsidR="00F3733D">
        <w:rPr>
          <w:rFonts w:ascii="Times New Roman" w:hAnsi="Times New Roman"/>
          <w:sz w:val="24"/>
        </w:rPr>
        <w:t xml:space="preserve">ies.  In addition, </w:t>
      </w:r>
      <w:proofErr w:type="gramStart"/>
      <w:r w:rsidR="00F3733D">
        <w:rPr>
          <w:rFonts w:ascii="Times New Roman" w:hAnsi="Times New Roman"/>
          <w:sz w:val="24"/>
        </w:rPr>
        <w:t>HSE</w:t>
      </w:r>
      <w:r w:rsidR="00521245" w:rsidRPr="00411CFF">
        <w:rPr>
          <w:rFonts w:ascii="Times New Roman" w:hAnsi="Times New Roman"/>
          <w:sz w:val="24"/>
        </w:rPr>
        <w:t xml:space="preserve">  is</w:t>
      </w:r>
      <w:proofErr w:type="gramEnd"/>
      <w:r w:rsidR="00521245" w:rsidRPr="00411CFF">
        <w:rPr>
          <w:rFonts w:ascii="Times New Roman" w:hAnsi="Times New Roman"/>
          <w:sz w:val="24"/>
        </w:rPr>
        <w:t xml:space="preserve"> currently ranked </w:t>
      </w:r>
      <w:r w:rsidR="003D70A2" w:rsidRPr="00411CFF">
        <w:rPr>
          <w:rFonts w:ascii="Times New Roman" w:hAnsi="Times New Roman"/>
          <w:sz w:val="24"/>
        </w:rPr>
        <w:t xml:space="preserve">third </w:t>
      </w:r>
      <w:r w:rsidR="00F3733D">
        <w:rPr>
          <w:rFonts w:ascii="Times New Roman" w:hAnsi="Times New Roman"/>
          <w:sz w:val="24"/>
        </w:rPr>
        <w:t>in Philosophy</w:t>
      </w:r>
      <w:r w:rsidR="00F3733D" w:rsidRPr="00411CFF">
        <w:rPr>
          <w:rFonts w:ascii="Times New Roman" w:hAnsi="Times New Roman"/>
          <w:sz w:val="24"/>
        </w:rPr>
        <w:t xml:space="preserve"> </w:t>
      </w:r>
      <w:r w:rsidR="00521245" w:rsidRPr="00411CFF">
        <w:rPr>
          <w:rFonts w:ascii="Times New Roman" w:hAnsi="Times New Roman"/>
          <w:sz w:val="24"/>
        </w:rPr>
        <w:t xml:space="preserve">among Russian </w:t>
      </w:r>
      <w:r w:rsidR="00E41D53" w:rsidRPr="00411CFF">
        <w:rPr>
          <w:rFonts w:ascii="Times New Roman" w:hAnsi="Times New Roman"/>
          <w:sz w:val="24"/>
        </w:rPr>
        <w:t>academic institutions</w:t>
      </w:r>
      <w:r w:rsidR="00521245" w:rsidRPr="00411CFF">
        <w:rPr>
          <w:rFonts w:ascii="Times New Roman" w:hAnsi="Times New Roman"/>
          <w:sz w:val="24"/>
        </w:rPr>
        <w:t xml:space="preserve">. </w:t>
      </w:r>
    </w:p>
    <w:p w14:paraId="42F09396" w14:textId="13AB7F83" w:rsidR="00A81AB2" w:rsidRPr="00411CFF" w:rsidRDefault="00F3733D" w:rsidP="0051131B">
      <w:pPr>
        <w:spacing w:after="0"/>
        <w:ind w:firstLine="720"/>
        <w:jc w:val="both"/>
        <w:rPr>
          <w:rFonts w:ascii="Times New Roman" w:hAnsi="Times New Roman"/>
          <w:sz w:val="24"/>
          <w:szCs w:val="24"/>
        </w:rPr>
      </w:pPr>
      <w:r>
        <w:rPr>
          <w:rFonts w:ascii="Times New Roman" w:hAnsi="Times New Roman"/>
          <w:sz w:val="24"/>
        </w:rPr>
        <w:t xml:space="preserve">In Mathematics, </w:t>
      </w:r>
      <w:r w:rsidR="00521245" w:rsidRPr="00411CFF">
        <w:rPr>
          <w:rFonts w:ascii="Times New Roman" w:hAnsi="Times New Roman"/>
          <w:sz w:val="24"/>
        </w:rPr>
        <w:t xml:space="preserve">HSE </w:t>
      </w:r>
      <w:r>
        <w:rPr>
          <w:rFonts w:ascii="Times New Roman" w:hAnsi="Times New Roman"/>
          <w:sz w:val="24"/>
        </w:rPr>
        <w:t>was ranked 181</w:t>
      </w:r>
      <w:r w:rsidRPr="005373BB">
        <w:rPr>
          <w:rFonts w:ascii="Times New Roman" w:hAnsi="Times New Roman"/>
          <w:sz w:val="24"/>
          <w:vertAlign w:val="superscript"/>
        </w:rPr>
        <w:t>st</w:t>
      </w:r>
      <w:r>
        <w:rPr>
          <w:rFonts w:ascii="Times New Roman" w:hAnsi="Times New Roman"/>
          <w:sz w:val="24"/>
        </w:rPr>
        <w:t xml:space="preserve"> by</w:t>
      </w:r>
      <w:r w:rsidRPr="00411CFF">
        <w:rPr>
          <w:rFonts w:ascii="Times New Roman" w:hAnsi="Times New Roman"/>
          <w:sz w:val="24"/>
        </w:rPr>
        <w:t xml:space="preserve"> </w:t>
      </w:r>
      <w:r>
        <w:rPr>
          <w:rFonts w:ascii="Times New Roman" w:hAnsi="Times New Roman"/>
          <w:sz w:val="24"/>
        </w:rPr>
        <w:t xml:space="preserve">the </w:t>
      </w:r>
      <w:r w:rsidRPr="00411CFF">
        <w:rPr>
          <w:rFonts w:ascii="Times New Roman" w:hAnsi="Times New Roman"/>
          <w:sz w:val="24"/>
        </w:rPr>
        <w:t>US News &amp; World Report</w:t>
      </w:r>
      <w:r>
        <w:rPr>
          <w:rFonts w:ascii="Times New Roman" w:hAnsi="Times New Roman"/>
          <w:sz w:val="24"/>
        </w:rPr>
        <w:t xml:space="preserve"> and in the </w:t>
      </w:r>
      <w:r w:rsidR="00521245" w:rsidRPr="00411CFF">
        <w:rPr>
          <w:rFonts w:ascii="Times New Roman" w:hAnsi="Times New Roman"/>
          <w:sz w:val="24"/>
        </w:rPr>
        <w:t>251-300</w:t>
      </w:r>
      <w:r w:rsidR="00E30EC9" w:rsidRPr="00411CFF">
        <w:rPr>
          <w:rFonts w:ascii="Times New Roman" w:hAnsi="Times New Roman"/>
          <w:sz w:val="24"/>
        </w:rPr>
        <w:t xml:space="preserve"> </w:t>
      </w:r>
      <w:r>
        <w:rPr>
          <w:rFonts w:ascii="Times New Roman" w:hAnsi="Times New Roman"/>
          <w:sz w:val="24"/>
        </w:rPr>
        <w:t xml:space="preserve">group by </w:t>
      </w:r>
      <w:r w:rsidR="00E26BDA" w:rsidRPr="00411CFF">
        <w:rPr>
          <w:rFonts w:ascii="Times New Roman" w:hAnsi="Times New Roman"/>
          <w:sz w:val="24"/>
        </w:rPr>
        <w:t xml:space="preserve">the </w:t>
      </w:r>
      <w:r w:rsidR="00521245" w:rsidRPr="00411CFF">
        <w:rPr>
          <w:rFonts w:ascii="Times New Roman" w:hAnsi="Times New Roman"/>
          <w:sz w:val="24"/>
        </w:rPr>
        <w:t>QS.</w:t>
      </w:r>
    </w:p>
    <w:p w14:paraId="225AACCC" w14:textId="66DB074D" w:rsidR="00A81AB2" w:rsidRPr="00411CFF" w:rsidRDefault="00F3733D" w:rsidP="0051131B">
      <w:pPr>
        <w:spacing w:after="0"/>
        <w:ind w:firstLine="708"/>
        <w:jc w:val="both"/>
        <w:rPr>
          <w:rFonts w:ascii="Times New Roman" w:hAnsi="Times New Roman"/>
          <w:sz w:val="24"/>
          <w:szCs w:val="24"/>
        </w:rPr>
      </w:pPr>
      <w:r>
        <w:rPr>
          <w:rFonts w:ascii="Times New Roman" w:hAnsi="Times New Roman"/>
          <w:sz w:val="24"/>
        </w:rPr>
        <w:t>I</w:t>
      </w:r>
      <w:r w:rsidRPr="00411CFF">
        <w:rPr>
          <w:rFonts w:ascii="Times New Roman" w:hAnsi="Times New Roman"/>
          <w:sz w:val="24"/>
        </w:rPr>
        <w:t>n Computer Science &amp; Information</w:t>
      </w:r>
      <w:r w:rsidR="00E210A4" w:rsidRPr="00411CFF">
        <w:rPr>
          <w:rFonts w:ascii="Times New Roman" w:hAnsi="Times New Roman"/>
          <w:sz w:val="24"/>
        </w:rPr>
        <w:t xml:space="preserve">, </w:t>
      </w:r>
      <w:r w:rsidR="00521245" w:rsidRPr="00411CFF">
        <w:rPr>
          <w:rFonts w:ascii="Times New Roman" w:hAnsi="Times New Roman"/>
          <w:sz w:val="24"/>
        </w:rPr>
        <w:t xml:space="preserve">HSE </w:t>
      </w:r>
      <w:r>
        <w:rPr>
          <w:rFonts w:ascii="Times New Roman" w:hAnsi="Times New Roman"/>
          <w:sz w:val="24"/>
        </w:rPr>
        <w:t xml:space="preserve">was ranked by the </w:t>
      </w:r>
      <w:r w:rsidR="00521245" w:rsidRPr="00411CFF">
        <w:rPr>
          <w:rFonts w:ascii="Times New Roman" w:hAnsi="Times New Roman"/>
          <w:sz w:val="24"/>
        </w:rPr>
        <w:t xml:space="preserve">QS for the first </w:t>
      </w:r>
      <w:proofErr w:type="gramStart"/>
      <w:r w:rsidR="00521245" w:rsidRPr="00411CFF">
        <w:rPr>
          <w:rFonts w:ascii="Times New Roman" w:hAnsi="Times New Roman"/>
          <w:sz w:val="24"/>
        </w:rPr>
        <w:t>time</w:t>
      </w:r>
      <w:r>
        <w:rPr>
          <w:rFonts w:ascii="Times New Roman" w:hAnsi="Times New Roman"/>
          <w:sz w:val="24"/>
        </w:rPr>
        <w:t>,</w:t>
      </w:r>
      <w:proofErr w:type="gramEnd"/>
      <w:r w:rsidR="00521245" w:rsidRPr="00411CFF">
        <w:rPr>
          <w:rFonts w:ascii="Times New Roman" w:hAnsi="Times New Roman"/>
          <w:sz w:val="24"/>
        </w:rPr>
        <w:t xml:space="preserve"> </w:t>
      </w:r>
      <w:r>
        <w:rPr>
          <w:rFonts w:ascii="Times New Roman" w:hAnsi="Times New Roman"/>
          <w:sz w:val="24"/>
        </w:rPr>
        <w:t xml:space="preserve">it is currently in the </w:t>
      </w:r>
      <w:r w:rsidR="00521245" w:rsidRPr="00411CFF">
        <w:rPr>
          <w:rFonts w:ascii="Times New Roman" w:hAnsi="Times New Roman"/>
          <w:sz w:val="24"/>
        </w:rPr>
        <w:t>401-500</w:t>
      </w:r>
      <w:r>
        <w:rPr>
          <w:rFonts w:ascii="Times New Roman" w:hAnsi="Times New Roman"/>
          <w:sz w:val="24"/>
        </w:rPr>
        <w:t xml:space="preserve"> group</w:t>
      </w:r>
      <w:r w:rsidR="00521245" w:rsidRPr="00411CFF">
        <w:rPr>
          <w:rFonts w:ascii="Times New Roman" w:hAnsi="Times New Roman"/>
          <w:sz w:val="24"/>
        </w:rPr>
        <w:t>.</w:t>
      </w:r>
    </w:p>
    <w:p w14:paraId="0BA3D6A5" w14:textId="7EBA137A" w:rsidR="00A81AB2" w:rsidRPr="00411CFF" w:rsidRDefault="00A81AB2" w:rsidP="0051131B">
      <w:pPr>
        <w:spacing w:after="0"/>
        <w:ind w:firstLine="720"/>
        <w:jc w:val="both"/>
        <w:rPr>
          <w:rFonts w:ascii="Times New Roman" w:hAnsi="Times New Roman"/>
          <w:sz w:val="24"/>
          <w:szCs w:val="24"/>
        </w:rPr>
      </w:pPr>
      <w:r w:rsidRPr="00411CFF">
        <w:rPr>
          <w:rFonts w:ascii="Times New Roman" w:hAnsi="Times New Roman"/>
          <w:sz w:val="24"/>
        </w:rPr>
        <w:t xml:space="preserve">HSE has become the first Russian university to be included in </w:t>
      </w:r>
      <w:r w:rsidR="00E26BDA" w:rsidRPr="00411CFF">
        <w:rPr>
          <w:rFonts w:ascii="Times New Roman" w:hAnsi="Times New Roman"/>
          <w:sz w:val="24"/>
        </w:rPr>
        <w:t>the</w:t>
      </w:r>
      <w:r w:rsidR="0049786C">
        <w:rPr>
          <w:rFonts w:ascii="Times New Roman" w:hAnsi="Times New Roman"/>
          <w:sz w:val="24"/>
        </w:rPr>
        <w:t xml:space="preserve"> </w:t>
      </w:r>
      <w:r w:rsidR="0049786C">
        <w:rPr>
          <w:rFonts w:ascii="Times New Roman" w:hAnsi="Times New Roman"/>
          <w:sz w:val="24"/>
          <w:lang w:val="en-US"/>
        </w:rPr>
        <w:t>QS TOP u</w:t>
      </w:r>
      <w:proofErr w:type="spellStart"/>
      <w:r w:rsidR="004348EE" w:rsidRPr="00411CFF">
        <w:rPr>
          <w:rFonts w:ascii="Times New Roman" w:hAnsi="Times New Roman"/>
          <w:sz w:val="24"/>
        </w:rPr>
        <w:t>nder</w:t>
      </w:r>
      <w:proofErr w:type="spellEnd"/>
      <w:r w:rsidR="0049786C">
        <w:rPr>
          <w:rFonts w:ascii="Times New Roman" w:hAnsi="Times New Roman"/>
          <w:sz w:val="24"/>
        </w:rPr>
        <w:t xml:space="preserve"> </w:t>
      </w:r>
      <w:r w:rsidRPr="00411CFF">
        <w:rPr>
          <w:rFonts w:ascii="Times New Roman" w:hAnsi="Times New Roman"/>
          <w:sz w:val="24"/>
        </w:rPr>
        <w:t>50 global institutional ranking, where it</w:t>
      </w:r>
      <w:r w:rsidR="004348EE" w:rsidRPr="00411CFF">
        <w:rPr>
          <w:rFonts w:ascii="Times New Roman" w:hAnsi="Times New Roman"/>
          <w:sz w:val="24"/>
        </w:rPr>
        <w:t xml:space="preserve"> appeared within the </w:t>
      </w:r>
      <w:r w:rsidRPr="00411CFF">
        <w:rPr>
          <w:rFonts w:ascii="Times New Roman" w:hAnsi="Times New Roman"/>
          <w:sz w:val="24"/>
        </w:rPr>
        <w:t xml:space="preserve">51-60 group in 2016 (30 </w:t>
      </w:r>
      <w:r w:rsidR="00F3733D">
        <w:rPr>
          <w:rFonts w:ascii="Times New Roman" w:hAnsi="Times New Roman"/>
          <w:sz w:val="24"/>
        </w:rPr>
        <w:t>positions up</w:t>
      </w:r>
      <w:r w:rsidRPr="00411CFF">
        <w:rPr>
          <w:rFonts w:ascii="Times New Roman" w:hAnsi="Times New Roman"/>
          <w:sz w:val="24"/>
        </w:rPr>
        <w:t xml:space="preserve"> compared </w:t>
      </w:r>
      <w:r w:rsidR="00F3733D">
        <w:rPr>
          <w:rFonts w:ascii="Times New Roman" w:hAnsi="Times New Roman"/>
          <w:sz w:val="24"/>
        </w:rPr>
        <w:t>to</w:t>
      </w:r>
      <w:r w:rsidR="00F3733D" w:rsidRPr="00411CFF">
        <w:rPr>
          <w:rFonts w:ascii="Times New Roman" w:hAnsi="Times New Roman"/>
          <w:sz w:val="24"/>
        </w:rPr>
        <w:t xml:space="preserve"> </w:t>
      </w:r>
      <w:r w:rsidRPr="00411CFF">
        <w:rPr>
          <w:rFonts w:ascii="Times New Roman" w:hAnsi="Times New Roman"/>
          <w:sz w:val="24"/>
        </w:rPr>
        <w:t xml:space="preserve">2015). </w:t>
      </w:r>
    </w:p>
    <w:p w14:paraId="276E24D3" w14:textId="18B9732E" w:rsidR="00A81AB2" w:rsidRPr="00411CFF" w:rsidRDefault="00A81AB2" w:rsidP="0051131B">
      <w:pPr>
        <w:spacing w:after="0"/>
        <w:ind w:firstLine="720"/>
        <w:jc w:val="both"/>
        <w:rPr>
          <w:rFonts w:ascii="Times New Roman" w:hAnsi="Times New Roman"/>
          <w:sz w:val="24"/>
          <w:szCs w:val="24"/>
        </w:rPr>
      </w:pPr>
      <w:r w:rsidRPr="00411CFF">
        <w:rPr>
          <w:rFonts w:ascii="Times New Roman" w:hAnsi="Times New Roman"/>
          <w:sz w:val="24"/>
        </w:rPr>
        <w:t xml:space="preserve">Due to </w:t>
      </w:r>
      <w:r w:rsidR="006E6578">
        <w:rPr>
          <w:rFonts w:ascii="Times New Roman" w:hAnsi="Times New Roman"/>
          <w:sz w:val="24"/>
        </w:rPr>
        <w:t xml:space="preserve">the </w:t>
      </w:r>
      <w:r w:rsidRPr="00411CFF">
        <w:rPr>
          <w:rFonts w:ascii="Times New Roman" w:hAnsi="Times New Roman"/>
          <w:sz w:val="24"/>
        </w:rPr>
        <w:t xml:space="preserve">changes in </w:t>
      </w:r>
      <w:r w:rsidR="005C5AEA" w:rsidRPr="00411CFF">
        <w:rPr>
          <w:rFonts w:ascii="Times New Roman" w:hAnsi="Times New Roman"/>
          <w:sz w:val="24"/>
        </w:rPr>
        <w:t>methodolog</w:t>
      </w:r>
      <w:r w:rsidR="00566715">
        <w:rPr>
          <w:rFonts w:ascii="Times New Roman" w:hAnsi="Times New Roman"/>
          <w:sz w:val="24"/>
        </w:rPr>
        <w:t>y</w:t>
      </w:r>
      <w:r w:rsidR="005C5AEA" w:rsidRPr="00411CFF">
        <w:rPr>
          <w:rFonts w:ascii="Times New Roman" w:hAnsi="Times New Roman"/>
          <w:sz w:val="24"/>
        </w:rPr>
        <w:t xml:space="preserve"> of the </w:t>
      </w:r>
      <w:r w:rsidR="006E6578" w:rsidRPr="00411CFF">
        <w:rPr>
          <w:rFonts w:ascii="Times New Roman" w:hAnsi="Times New Roman"/>
          <w:sz w:val="24"/>
        </w:rPr>
        <w:t>QS</w:t>
      </w:r>
      <w:r w:rsidR="006E6578">
        <w:rPr>
          <w:rFonts w:ascii="Times New Roman" w:hAnsi="Times New Roman"/>
          <w:sz w:val="24"/>
        </w:rPr>
        <w:t xml:space="preserve"> and </w:t>
      </w:r>
      <w:r w:rsidR="00F3733D">
        <w:rPr>
          <w:rFonts w:ascii="Times New Roman" w:hAnsi="Times New Roman"/>
          <w:sz w:val="24"/>
        </w:rPr>
        <w:t>Times Higher Education (</w:t>
      </w:r>
      <w:r w:rsidRPr="00411CFF">
        <w:rPr>
          <w:rFonts w:ascii="Times New Roman" w:hAnsi="Times New Roman"/>
          <w:sz w:val="24"/>
        </w:rPr>
        <w:t>THE</w:t>
      </w:r>
      <w:r w:rsidR="00F3733D">
        <w:rPr>
          <w:rFonts w:ascii="Times New Roman" w:hAnsi="Times New Roman"/>
          <w:sz w:val="24"/>
        </w:rPr>
        <w:t>)</w:t>
      </w:r>
      <w:r w:rsidRPr="00411CFF">
        <w:rPr>
          <w:rFonts w:ascii="Times New Roman" w:hAnsi="Times New Roman"/>
          <w:sz w:val="24"/>
        </w:rPr>
        <w:t xml:space="preserve"> – World University Rankings, HSE failed to attain target positions in global institutional rankings in 2016. In 2016, the university was </w:t>
      </w:r>
      <w:r w:rsidR="006E6578">
        <w:rPr>
          <w:rFonts w:ascii="Times New Roman" w:hAnsi="Times New Roman"/>
          <w:sz w:val="24"/>
        </w:rPr>
        <w:t xml:space="preserve">ranked in the 401-500 group by </w:t>
      </w:r>
      <w:proofErr w:type="gramStart"/>
      <w:r w:rsidR="006E6578">
        <w:rPr>
          <w:rFonts w:ascii="Times New Roman" w:hAnsi="Times New Roman"/>
          <w:sz w:val="24"/>
        </w:rPr>
        <w:t>THE</w:t>
      </w:r>
      <w:r w:rsidRPr="00411CFF">
        <w:rPr>
          <w:rFonts w:ascii="Times New Roman" w:hAnsi="Times New Roman"/>
          <w:sz w:val="24"/>
        </w:rPr>
        <w:t xml:space="preserve"> </w:t>
      </w:r>
      <w:r w:rsidR="006E6578">
        <w:rPr>
          <w:rFonts w:ascii="Times New Roman" w:hAnsi="Times New Roman"/>
          <w:sz w:val="24"/>
        </w:rPr>
        <w:t>and</w:t>
      </w:r>
      <w:proofErr w:type="gramEnd"/>
      <w:r w:rsidR="006E6578">
        <w:rPr>
          <w:rFonts w:ascii="Times New Roman" w:hAnsi="Times New Roman"/>
          <w:sz w:val="24"/>
        </w:rPr>
        <w:t xml:space="preserve"> shared 411-420</w:t>
      </w:r>
      <w:r w:rsidR="006E6578" w:rsidRPr="00B00F78">
        <w:rPr>
          <w:rFonts w:ascii="Times New Roman" w:hAnsi="Times New Roman"/>
          <w:sz w:val="24"/>
          <w:vertAlign w:val="superscript"/>
        </w:rPr>
        <w:t>th</w:t>
      </w:r>
      <w:r w:rsidR="006E6578">
        <w:rPr>
          <w:rFonts w:ascii="Times New Roman" w:hAnsi="Times New Roman"/>
          <w:sz w:val="24"/>
        </w:rPr>
        <w:t xml:space="preserve"> position </w:t>
      </w:r>
      <w:r w:rsidRPr="00411CFF">
        <w:rPr>
          <w:rFonts w:ascii="Times New Roman" w:hAnsi="Times New Roman"/>
          <w:sz w:val="24"/>
        </w:rPr>
        <w:t>in the QS global institutional ranking</w:t>
      </w:r>
      <w:r w:rsidR="006E6578">
        <w:rPr>
          <w:rFonts w:ascii="Times New Roman" w:hAnsi="Times New Roman"/>
          <w:sz w:val="24"/>
        </w:rPr>
        <w:t>, improving</w:t>
      </w:r>
      <w:r w:rsidRPr="00411CFF">
        <w:rPr>
          <w:rFonts w:ascii="Times New Roman" w:hAnsi="Times New Roman"/>
          <w:sz w:val="24"/>
        </w:rPr>
        <w:t xml:space="preserve"> by 90 positions </w:t>
      </w:r>
      <w:r w:rsidR="006E6578">
        <w:rPr>
          <w:rFonts w:ascii="Times New Roman" w:hAnsi="Times New Roman"/>
          <w:sz w:val="24"/>
        </w:rPr>
        <w:t>compared to 2015</w:t>
      </w:r>
      <w:r w:rsidRPr="00411CFF">
        <w:rPr>
          <w:rFonts w:ascii="Times New Roman" w:hAnsi="Times New Roman"/>
          <w:sz w:val="24"/>
        </w:rPr>
        <w:t>.</w:t>
      </w:r>
    </w:p>
    <w:p w14:paraId="478784EC" w14:textId="77777777" w:rsidR="004C3C00" w:rsidRPr="00411CFF" w:rsidRDefault="004C3C00" w:rsidP="0051131B">
      <w:pPr>
        <w:spacing w:after="0"/>
        <w:ind w:firstLine="720"/>
        <w:jc w:val="both"/>
        <w:rPr>
          <w:rFonts w:ascii="Times New Roman" w:hAnsi="Times New Roman"/>
          <w:sz w:val="24"/>
          <w:szCs w:val="24"/>
        </w:rPr>
      </w:pPr>
    </w:p>
    <w:p w14:paraId="35033C82" w14:textId="77777777" w:rsidR="00A47DC6" w:rsidRPr="00411CFF" w:rsidRDefault="00A47DC6" w:rsidP="0051131B">
      <w:pPr>
        <w:spacing w:after="0"/>
        <w:ind w:firstLine="709"/>
        <w:jc w:val="both"/>
        <w:rPr>
          <w:rFonts w:ascii="Times New Roman" w:hAnsi="Times New Roman"/>
          <w:b/>
          <w:sz w:val="24"/>
          <w:szCs w:val="24"/>
        </w:rPr>
      </w:pPr>
      <w:r w:rsidRPr="00411CFF">
        <w:rPr>
          <w:rFonts w:ascii="Times New Roman" w:hAnsi="Times New Roman"/>
          <w:b/>
          <w:sz w:val="24"/>
        </w:rPr>
        <w:t xml:space="preserve">Strategic Initiative </w:t>
      </w:r>
      <w:r w:rsidR="001E7429" w:rsidRPr="00411CFF">
        <w:rPr>
          <w:rFonts w:ascii="Times New Roman" w:hAnsi="Times New Roman"/>
          <w:b/>
          <w:sz w:val="24"/>
        </w:rPr>
        <w:t xml:space="preserve">No. </w:t>
      </w:r>
      <w:r w:rsidRPr="00411CFF">
        <w:rPr>
          <w:rFonts w:ascii="Times New Roman" w:hAnsi="Times New Roman"/>
          <w:b/>
          <w:sz w:val="24"/>
        </w:rPr>
        <w:t xml:space="preserve">1: Achieving </w:t>
      </w:r>
      <w:r w:rsidR="006256D0">
        <w:rPr>
          <w:rFonts w:ascii="Times New Roman" w:hAnsi="Times New Roman"/>
          <w:b/>
          <w:sz w:val="24"/>
        </w:rPr>
        <w:t>I</w:t>
      </w:r>
      <w:r w:rsidR="006256D0" w:rsidRPr="00411CFF">
        <w:rPr>
          <w:rFonts w:ascii="Times New Roman" w:hAnsi="Times New Roman"/>
          <w:b/>
          <w:sz w:val="24"/>
        </w:rPr>
        <w:t xml:space="preserve">nternational </w:t>
      </w:r>
      <w:r w:rsidR="006256D0">
        <w:rPr>
          <w:rFonts w:ascii="Times New Roman" w:hAnsi="Times New Roman"/>
          <w:b/>
          <w:sz w:val="24"/>
        </w:rPr>
        <w:t>C</w:t>
      </w:r>
      <w:r w:rsidR="006256D0" w:rsidRPr="00411CFF">
        <w:rPr>
          <w:rFonts w:ascii="Times New Roman" w:hAnsi="Times New Roman"/>
          <w:b/>
          <w:sz w:val="24"/>
        </w:rPr>
        <w:t xml:space="preserve">ompetitiveness </w:t>
      </w:r>
      <w:r w:rsidR="00E10DD7">
        <w:rPr>
          <w:rFonts w:ascii="Times New Roman" w:hAnsi="Times New Roman"/>
          <w:b/>
          <w:sz w:val="24"/>
        </w:rPr>
        <w:t>in</w:t>
      </w:r>
      <w:r w:rsidR="006256D0" w:rsidRPr="00411CFF">
        <w:rPr>
          <w:rFonts w:ascii="Times New Roman" w:hAnsi="Times New Roman"/>
          <w:b/>
          <w:sz w:val="24"/>
        </w:rPr>
        <w:t xml:space="preserve"> </w:t>
      </w:r>
      <w:r w:rsidR="006256D0">
        <w:rPr>
          <w:rFonts w:ascii="Times New Roman" w:hAnsi="Times New Roman"/>
          <w:b/>
          <w:sz w:val="24"/>
        </w:rPr>
        <w:t>R</w:t>
      </w:r>
      <w:r w:rsidR="006256D0" w:rsidRPr="00411CFF">
        <w:rPr>
          <w:rFonts w:ascii="Times New Roman" w:hAnsi="Times New Roman"/>
          <w:b/>
          <w:sz w:val="24"/>
        </w:rPr>
        <w:t xml:space="preserve">esearch </w:t>
      </w:r>
      <w:r w:rsidRPr="00411CFF">
        <w:rPr>
          <w:rFonts w:ascii="Times New Roman" w:hAnsi="Times New Roman"/>
          <w:b/>
          <w:sz w:val="24"/>
        </w:rPr>
        <w:t xml:space="preserve">&amp; </w:t>
      </w:r>
      <w:r w:rsidR="006256D0">
        <w:rPr>
          <w:rFonts w:ascii="Times New Roman" w:hAnsi="Times New Roman"/>
          <w:b/>
          <w:sz w:val="24"/>
        </w:rPr>
        <w:t>D</w:t>
      </w:r>
      <w:r w:rsidR="006256D0" w:rsidRPr="00411CFF">
        <w:rPr>
          <w:rFonts w:ascii="Times New Roman" w:hAnsi="Times New Roman"/>
          <w:b/>
          <w:sz w:val="24"/>
        </w:rPr>
        <w:t xml:space="preserve">evelopment </w:t>
      </w:r>
      <w:r w:rsidRPr="00411CFF">
        <w:rPr>
          <w:rFonts w:ascii="Times New Roman" w:hAnsi="Times New Roman"/>
          <w:b/>
          <w:sz w:val="24"/>
        </w:rPr>
        <w:t xml:space="preserve">and </w:t>
      </w:r>
      <w:r w:rsidR="006256D0">
        <w:rPr>
          <w:rFonts w:ascii="Times New Roman" w:hAnsi="Times New Roman"/>
          <w:b/>
          <w:sz w:val="24"/>
        </w:rPr>
        <w:t>E</w:t>
      </w:r>
      <w:r w:rsidR="006256D0" w:rsidRPr="00411CFF">
        <w:rPr>
          <w:rFonts w:ascii="Times New Roman" w:hAnsi="Times New Roman"/>
          <w:b/>
          <w:sz w:val="24"/>
        </w:rPr>
        <w:t xml:space="preserve">xpert </w:t>
      </w:r>
      <w:r w:rsidR="006256D0">
        <w:rPr>
          <w:rFonts w:ascii="Times New Roman" w:hAnsi="Times New Roman"/>
          <w:b/>
          <w:sz w:val="24"/>
        </w:rPr>
        <w:t>E</w:t>
      </w:r>
      <w:r w:rsidR="006256D0" w:rsidRPr="00411CFF">
        <w:rPr>
          <w:rFonts w:ascii="Times New Roman" w:hAnsi="Times New Roman"/>
          <w:b/>
          <w:sz w:val="24"/>
        </w:rPr>
        <w:t xml:space="preserve">valuation </w:t>
      </w:r>
      <w:r w:rsidRPr="00411CFF">
        <w:rPr>
          <w:rFonts w:ascii="Times New Roman" w:hAnsi="Times New Roman"/>
          <w:b/>
          <w:sz w:val="24"/>
        </w:rPr>
        <w:t xml:space="preserve">and </w:t>
      </w:r>
      <w:r w:rsidR="006256D0">
        <w:rPr>
          <w:rFonts w:ascii="Times New Roman" w:hAnsi="Times New Roman"/>
          <w:b/>
          <w:sz w:val="24"/>
        </w:rPr>
        <w:t>A</w:t>
      </w:r>
      <w:r w:rsidR="006256D0" w:rsidRPr="00411CFF">
        <w:rPr>
          <w:rFonts w:ascii="Times New Roman" w:hAnsi="Times New Roman"/>
          <w:b/>
          <w:sz w:val="24"/>
        </w:rPr>
        <w:t>nalysis</w:t>
      </w:r>
    </w:p>
    <w:p w14:paraId="58351AD8" w14:textId="61F8124E" w:rsidR="002F21FE" w:rsidRPr="00411CFF" w:rsidRDefault="006E6578" w:rsidP="0051131B">
      <w:pPr>
        <w:spacing w:after="0"/>
        <w:ind w:firstLine="709"/>
        <w:contextualSpacing/>
        <w:jc w:val="both"/>
        <w:rPr>
          <w:rFonts w:ascii="Times New Roman" w:hAnsi="Times New Roman"/>
          <w:sz w:val="24"/>
          <w:szCs w:val="24"/>
        </w:rPr>
      </w:pPr>
      <w:proofErr w:type="gramStart"/>
      <w:r>
        <w:rPr>
          <w:rFonts w:ascii="Times New Roman" w:hAnsi="Times New Roman"/>
          <w:sz w:val="24"/>
        </w:rPr>
        <w:t>HSE 2016 research revenue of 2.96 billion roubles ($50 million) ranks among top three Russian academic institutions</w:t>
      </w:r>
      <w:r w:rsidR="002F21FE" w:rsidRPr="00411CFF">
        <w:rPr>
          <w:rFonts w:ascii="Times New Roman" w:hAnsi="Times New Roman"/>
          <w:sz w:val="24"/>
        </w:rPr>
        <w:t>.</w:t>
      </w:r>
      <w:proofErr w:type="gramEnd"/>
      <w:r w:rsidR="002F21FE" w:rsidRPr="00411CFF">
        <w:rPr>
          <w:rFonts w:ascii="Times New Roman" w:hAnsi="Times New Roman"/>
          <w:sz w:val="24"/>
        </w:rPr>
        <w:t xml:space="preserve"> </w:t>
      </w:r>
    </w:p>
    <w:p w14:paraId="0853C596" w14:textId="2427AD98" w:rsidR="002F21FE" w:rsidRPr="00411CFF" w:rsidRDefault="002F21FE" w:rsidP="0051131B">
      <w:pPr>
        <w:spacing w:after="0"/>
        <w:ind w:firstLine="709"/>
        <w:jc w:val="both"/>
        <w:rPr>
          <w:rFonts w:ascii="Times New Roman" w:hAnsi="Times New Roman"/>
          <w:sz w:val="24"/>
          <w:szCs w:val="24"/>
        </w:rPr>
      </w:pPr>
      <w:r w:rsidRPr="00411CFF">
        <w:rPr>
          <w:rFonts w:ascii="Times New Roman" w:hAnsi="Times New Roman"/>
          <w:sz w:val="24"/>
        </w:rPr>
        <w:t xml:space="preserve">In order to further improve </w:t>
      </w:r>
      <w:r w:rsidR="00C07F54" w:rsidRPr="00411CFF">
        <w:rPr>
          <w:rFonts w:ascii="Times New Roman" w:hAnsi="Times New Roman"/>
          <w:sz w:val="24"/>
        </w:rPr>
        <w:t xml:space="preserve">its </w:t>
      </w:r>
      <w:r w:rsidR="006E6578">
        <w:rPr>
          <w:rFonts w:ascii="Times New Roman" w:hAnsi="Times New Roman"/>
          <w:sz w:val="24"/>
        </w:rPr>
        <w:t xml:space="preserve">achievement in research and academia, </w:t>
      </w:r>
      <w:r w:rsidRPr="00411CFF">
        <w:rPr>
          <w:rFonts w:ascii="Times New Roman" w:hAnsi="Times New Roman"/>
          <w:sz w:val="24"/>
        </w:rPr>
        <w:t xml:space="preserve">the university has </w:t>
      </w:r>
      <w:r w:rsidR="006E6578">
        <w:rPr>
          <w:rFonts w:ascii="Times New Roman" w:hAnsi="Times New Roman"/>
          <w:sz w:val="24"/>
        </w:rPr>
        <w:t xml:space="preserve">built on its strengths and </w:t>
      </w:r>
      <w:r w:rsidRPr="00411CFF">
        <w:rPr>
          <w:rFonts w:ascii="Times New Roman" w:hAnsi="Times New Roman"/>
          <w:sz w:val="24"/>
        </w:rPr>
        <w:t xml:space="preserve">established eight Strategic Academic Units (see Strategic Initiative </w:t>
      </w:r>
      <w:r w:rsidR="00892E7B" w:rsidRPr="00411CFF">
        <w:rPr>
          <w:rFonts w:ascii="Times New Roman" w:hAnsi="Times New Roman"/>
          <w:sz w:val="24"/>
        </w:rPr>
        <w:t xml:space="preserve">No. </w:t>
      </w:r>
      <w:r w:rsidRPr="00411CFF">
        <w:rPr>
          <w:rFonts w:ascii="Times New Roman" w:hAnsi="Times New Roman"/>
          <w:sz w:val="24"/>
        </w:rPr>
        <w:t xml:space="preserve">5 for more details), a network of 22 international laboratories and two </w:t>
      </w:r>
      <w:r w:rsidR="006E6578">
        <w:rPr>
          <w:rFonts w:ascii="Times New Roman" w:hAnsi="Times New Roman"/>
          <w:sz w:val="24"/>
        </w:rPr>
        <w:t>C</w:t>
      </w:r>
      <w:r w:rsidRPr="00411CFF">
        <w:rPr>
          <w:rFonts w:ascii="Times New Roman" w:hAnsi="Times New Roman"/>
          <w:sz w:val="24"/>
        </w:rPr>
        <w:t xml:space="preserve">entres for </w:t>
      </w:r>
      <w:r w:rsidR="006E6578">
        <w:rPr>
          <w:rFonts w:ascii="Times New Roman" w:hAnsi="Times New Roman"/>
          <w:sz w:val="24"/>
        </w:rPr>
        <w:t>A</w:t>
      </w:r>
      <w:r w:rsidRPr="00411CFF">
        <w:rPr>
          <w:rFonts w:ascii="Times New Roman" w:hAnsi="Times New Roman"/>
          <w:sz w:val="24"/>
        </w:rPr>
        <w:t xml:space="preserve">dvanced </w:t>
      </w:r>
      <w:r w:rsidR="006E6578">
        <w:rPr>
          <w:rFonts w:ascii="Times New Roman" w:hAnsi="Times New Roman"/>
          <w:sz w:val="24"/>
        </w:rPr>
        <w:t>S</w:t>
      </w:r>
      <w:r w:rsidRPr="00411CFF">
        <w:rPr>
          <w:rFonts w:ascii="Times New Roman" w:hAnsi="Times New Roman"/>
          <w:sz w:val="24"/>
        </w:rPr>
        <w:t xml:space="preserve">tudies (in Foresight and Science, Technology and Innovation Studies, and Cognitive Neuroscience), </w:t>
      </w:r>
      <w:r w:rsidR="009908C6">
        <w:rPr>
          <w:rFonts w:ascii="Times New Roman" w:hAnsi="Times New Roman"/>
          <w:sz w:val="24"/>
        </w:rPr>
        <w:t>and</w:t>
      </w:r>
      <w:r w:rsidRPr="00411CFF">
        <w:rPr>
          <w:rFonts w:ascii="Times New Roman" w:hAnsi="Times New Roman"/>
          <w:sz w:val="24"/>
        </w:rPr>
        <w:t xml:space="preserve"> two large </w:t>
      </w:r>
      <w:r w:rsidR="009908C6">
        <w:rPr>
          <w:rFonts w:ascii="Times New Roman" w:hAnsi="Times New Roman"/>
          <w:sz w:val="24"/>
        </w:rPr>
        <w:t>C</w:t>
      </w:r>
      <w:r w:rsidR="00892E7B" w:rsidRPr="00411CFF">
        <w:rPr>
          <w:rFonts w:ascii="Times New Roman" w:hAnsi="Times New Roman"/>
          <w:sz w:val="24"/>
        </w:rPr>
        <w:t xml:space="preserve">entres </w:t>
      </w:r>
      <w:r w:rsidRPr="00411CFF">
        <w:rPr>
          <w:rFonts w:ascii="Times New Roman" w:hAnsi="Times New Roman"/>
          <w:sz w:val="24"/>
        </w:rPr>
        <w:t xml:space="preserve">of </w:t>
      </w:r>
      <w:r w:rsidR="009908C6">
        <w:rPr>
          <w:rFonts w:ascii="Times New Roman" w:hAnsi="Times New Roman"/>
          <w:sz w:val="24"/>
        </w:rPr>
        <w:t>E</w:t>
      </w:r>
      <w:r w:rsidR="00892E7B" w:rsidRPr="00411CFF">
        <w:rPr>
          <w:rFonts w:ascii="Times New Roman" w:hAnsi="Times New Roman"/>
          <w:sz w:val="24"/>
        </w:rPr>
        <w:t>xcellence</w:t>
      </w:r>
      <w:r w:rsidRPr="00411CFF">
        <w:rPr>
          <w:rFonts w:ascii="Times New Roman" w:hAnsi="Times New Roman"/>
          <w:sz w:val="24"/>
        </w:rPr>
        <w:t xml:space="preserve">, which </w:t>
      </w:r>
      <w:r w:rsidR="00566715">
        <w:rPr>
          <w:rFonts w:ascii="Times New Roman" w:hAnsi="Times New Roman"/>
          <w:sz w:val="24"/>
        </w:rPr>
        <w:t>conduct</w:t>
      </w:r>
      <w:r w:rsidRPr="00411CFF">
        <w:rPr>
          <w:rFonts w:ascii="Times New Roman" w:hAnsi="Times New Roman"/>
          <w:sz w:val="24"/>
        </w:rPr>
        <w:t xml:space="preserve"> comprehensive </w:t>
      </w:r>
      <w:r w:rsidR="009908C6">
        <w:rPr>
          <w:rFonts w:ascii="Times New Roman" w:hAnsi="Times New Roman"/>
          <w:sz w:val="24"/>
        </w:rPr>
        <w:t>fundamental</w:t>
      </w:r>
      <w:r w:rsidR="009908C6" w:rsidRPr="00411CFF">
        <w:rPr>
          <w:rFonts w:ascii="Times New Roman" w:hAnsi="Times New Roman"/>
          <w:sz w:val="24"/>
        </w:rPr>
        <w:t xml:space="preserve"> </w:t>
      </w:r>
      <w:r w:rsidRPr="00411CFF">
        <w:rPr>
          <w:rFonts w:ascii="Times New Roman" w:hAnsi="Times New Roman"/>
          <w:sz w:val="24"/>
        </w:rPr>
        <w:t xml:space="preserve">and applied research </w:t>
      </w:r>
      <w:r w:rsidR="009908C6">
        <w:rPr>
          <w:rFonts w:ascii="Times New Roman" w:hAnsi="Times New Roman"/>
          <w:sz w:val="24"/>
        </w:rPr>
        <w:t>critically important to</w:t>
      </w:r>
      <w:r w:rsidRPr="00411CFF">
        <w:rPr>
          <w:rFonts w:ascii="Times New Roman" w:hAnsi="Times New Roman"/>
          <w:sz w:val="24"/>
        </w:rPr>
        <w:t xml:space="preserve"> </w:t>
      </w:r>
      <w:r w:rsidR="00A54DB0" w:rsidRPr="00411CFF">
        <w:rPr>
          <w:rFonts w:ascii="Times New Roman" w:hAnsi="Times New Roman"/>
          <w:sz w:val="24"/>
        </w:rPr>
        <w:t xml:space="preserve">Russia’s </w:t>
      </w:r>
      <w:r w:rsidRPr="00411CFF">
        <w:rPr>
          <w:rFonts w:ascii="Times New Roman" w:hAnsi="Times New Roman"/>
          <w:sz w:val="24"/>
        </w:rPr>
        <w:t>national economy</w:t>
      </w:r>
      <w:r w:rsidR="009908C6">
        <w:rPr>
          <w:rFonts w:ascii="Times New Roman" w:hAnsi="Times New Roman"/>
          <w:sz w:val="24"/>
        </w:rPr>
        <w:t xml:space="preserve"> such as</w:t>
      </w:r>
      <w:r w:rsidRPr="00411CFF">
        <w:rPr>
          <w:rFonts w:ascii="Times New Roman" w:hAnsi="Times New Roman"/>
          <w:sz w:val="24"/>
        </w:rPr>
        <w:t xml:space="preserve"> power </w:t>
      </w:r>
      <w:r w:rsidR="00887572" w:rsidRPr="00411CFF">
        <w:rPr>
          <w:rFonts w:ascii="Times New Roman" w:hAnsi="Times New Roman"/>
          <w:sz w:val="24"/>
        </w:rPr>
        <w:t xml:space="preserve">generation </w:t>
      </w:r>
      <w:r w:rsidRPr="00411CFF">
        <w:rPr>
          <w:rFonts w:ascii="Times New Roman" w:hAnsi="Times New Roman"/>
          <w:sz w:val="24"/>
        </w:rPr>
        <w:t xml:space="preserve">and transportation. </w:t>
      </w:r>
    </w:p>
    <w:p w14:paraId="10CFBB4D" w14:textId="6FFEEF48" w:rsidR="002F21FE" w:rsidRPr="00411CFF" w:rsidRDefault="002F21FE" w:rsidP="0051131B">
      <w:pPr>
        <w:spacing w:after="0"/>
        <w:ind w:firstLine="709"/>
        <w:jc w:val="both"/>
        <w:rPr>
          <w:rFonts w:ascii="Times New Roman" w:hAnsi="Times New Roman"/>
          <w:sz w:val="24"/>
          <w:szCs w:val="24"/>
        </w:rPr>
      </w:pPr>
      <w:r w:rsidRPr="00411CFF">
        <w:rPr>
          <w:rFonts w:ascii="Times New Roman" w:hAnsi="Times New Roman"/>
          <w:sz w:val="24"/>
        </w:rPr>
        <w:t xml:space="preserve">In 2016, two new international laboratories </w:t>
      </w:r>
      <w:r w:rsidR="00566715">
        <w:rPr>
          <w:rFonts w:ascii="Times New Roman" w:hAnsi="Times New Roman"/>
          <w:sz w:val="24"/>
        </w:rPr>
        <w:t>chaired by</w:t>
      </w:r>
      <w:r w:rsidRPr="00411CFF">
        <w:rPr>
          <w:rFonts w:ascii="Times New Roman" w:hAnsi="Times New Roman"/>
          <w:sz w:val="24"/>
        </w:rPr>
        <w:t xml:space="preserve"> leading international scholars </w:t>
      </w:r>
      <w:r w:rsidR="00207098">
        <w:rPr>
          <w:rFonts w:ascii="Times New Roman" w:hAnsi="Times New Roman"/>
          <w:sz w:val="24"/>
        </w:rPr>
        <w:t>were</w:t>
      </w:r>
      <w:r w:rsidRPr="00411CFF">
        <w:rPr>
          <w:rFonts w:ascii="Times New Roman" w:hAnsi="Times New Roman"/>
          <w:sz w:val="24"/>
        </w:rPr>
        <w:t xml:space="preserve"> created: </w:t>
      </w:r>
      <w:r w:rsidR="00011C5B" w:rsidRPr="00411CFF">
        <w:rPr>
          <w:rFonts w:ascii="Times New Roman" w:hAnsi="Times New Roman"/>
          <w:sz w:val="24"/>
        </w:rPr>
        <w:t xml:space="preserve">the </w:t>
      </w:r>
      <w:r w:rsidRPr="00411CFF">
        <w:rPr>
          <w:rFonts w:ascii="Times New Roman" w:hAnsi="Times New Roman"/>
          <w:sz w:val="24"/>
        </w:rPr>
        <w:t xml:space="preserve">International Laboratory for Mirror Symmetry and </w:t>
      </w:r>
      <w:proofErr w:type="spellStart"/>
      <w:r w:rsidRPr="00411CFF">
        <w:rPr>
          <w:rFonts w:ascii="Times New Roman" w:hAnsi="Times New Roman"/>
          <w:sz w:val="24"/>
        </w:rPr>
        <w:t>Automorphic</w:t>
      </w:r>
      <w:proofErr w:type="spellEnd"/>
      <w:r w:rsidRPr="00411CFF">
        <w:rPr>
          <w:rFonts w:ascii="Times New Roman" w:hAnsi="Times New Roman"/>
          <w:sz w:val="24"/>
        </w:rPr>
        <w:t xml:space="preserve"> Forms, and </w:t>
      </w:r>
      <w:r w:rsidR="00011C5B" w:rsidRPr="00411CFF">
        <w:rPr>
          <w:rFonts w:ascii="Times New Roman" w:hAnsi="Times New Roman"/>
          <w:sz w:val="24"/>
        </w:rPr>
        <w:t xml:space="preserve">the </w:t>
      </w:r>
      <w:r w:rsidRPr="00411CFF">
        <w:rPr>
          <w:rFonts w:ascii="Times New Roman" w:hAnsi="Times New Roman"/>
          <w:sz w:val="24"/>
        </w:rPr>
        <w:t xml:space="preserve">Laboratory for Condensed Matter Physics. </w:t>
      </w:r>
      <w:r w:rsidR="00E53512" w:rsidRPr="00411CFF">
        <w:rPr>
          <w:rFonts w:ascii="Times New Roman" w:hAnsi="Times New Roman"/>
          <w:sz w:val="24"/>
        </w:rPr>
        <w:t>A total of 77</w:t>
      </w:r>
      <w:r w:rsidRPr="00411CFF">
        <w:rPr>
          <w:rFonts w:ascii="Times New Roman" w:hAnsi="Times New Roman"/>
          <w:sz w:val="24"/>
        </w:rPr>
        <w:t xml:space="preserve"> international experts </w:t>
      </w:r>
      <w:r w:rsidR="009908C6">
        <w:rPr>
          <w:rFonts w:ascii="Times New Roman" w:hAnsi="Times New Roman"/>
          <w:sz w:val="24"/>
        </w:rPr>
        <w:t>and</w:t>
      </w:r>
      <w:r w:rsidRPr="00411CFF">
        <w:rPr>
          <w:rFonts w:ascii="Times New Roman" w:hAnsi="Times New Roman"/>
          <w:sz w:val="24"/>
        </w:rPr>
        <w:t xml:space="preserve"> researchers from Europe, </w:t>
      </w:r>
      <w:proofErr w:type="gramStart"/>
      <w:r w:rsidRPr="00411CFF">
        <w:rPr>
          <w:rFonts w:ascii="Times New Roman" w:hAnsi="Times New Roman"/>
          <w:sz w:val="24"/>
        </w:rPr>
        <w:t xml:space="preserve">South </w:t>
      </w:r>
      <w:r w:rsidR="00207098">
        <w:rPr>
          <w:rFonts w:ascii="Times New Roman" w:hAnsi="Times New Roman"/>
          <w:sz w:val="24"/>
        </w:rPr>
        <w:t xml:space="preserve"> and</w:t>
      </w:r>
      <w:proofErr w:type="gramEnd"/>
      <w:r w:rsidRPr="00411CFF">
        <w:rPr>
          <w:rFonts w:ascii="Times New Roman" w:hAnsi="Times New Roman"/>
          <w:sz w:val="24"/>
        </w:rPr>
        <w:t xml:space="preserve"> North America, and CIS countries are employed by HSE’s international laboratories. </w:t>
      </w:r>
      <w:r w:rsidR="00011342">
        <w:rPr>
          <w:rFonts w:ascii="Times New Roman" w:hAnsi="Times New Roman"/>
          <w:sz w:val="24"/>
        </w:rPr>
        <w:t>A</w:t>
      </w:r>
      <w:r w:rsidR="00936BD8" w:rsidRPr="00411CFF">
        <w:rPr>
          <w:rFonts w:ascii="Times New Roman" w:hAnsi="Times New Roman"/>
          <w:sz w:val="24"/>
        </w:rPr>
        <w:t xml:space="preserve">bout </w:t>
      </w:r>
      <w:r w:rsidRPr="00411CFF">
        <w:rPr>
          <w:rFonts w:ascii="Times New Roman" w:hAnsi="Times New Roman"/>
          <w:sz w:val="24"/>
        </w:rPr>
        <w:t xml:space="preserve">300 young researchers </w:t>
      </w:r>
      <w:r w:rsidR="0049786C">
        <w:rPr>
          <w:rFonts w:ascii="Times New Roman" w:hAnsi="Times New Roman"/>
          <w:sz w:val="24"/>
        </w:rPr>
        <w:t xml:space="preserve">and </w:t>
      </w:r>
      <w:r w:rsidR="0049786C" w:rsidRPr="00411CFF">
        <w:rPr>
          <w:rFonts w:ascii="Times New Roman" w:hAnsi="Times New Roman"/>
          <w:sz w:val="24"/>
        </w:rPr>
        <w:t xml:space="preserve">over 200 students </w:t>
      </w:r>
      <w:r w:rsidRPr="00411CFF">
        <w:rPr>
          <w:rFonts w:ascii="Times New Roman" w:hAnsi="Times New Roman"/>
          <w:sz w:val="24"/>
        </w:rPr>
        <w:t xml:space="preserve">are involved in the </w:t>
      </w:r>
      <w:r w:rsidR="009908C6">
        <w:rPr>
          <w:rFonts w:ascii="Times New Roman" w:hAnsi="Times New Roman"/>
          <w:sz w:val="24"/>
        </w:rPr>
        <w:t>work</w:t>
      </w:r>
      <w:r w:rsidR="009908C6" w:rsidRPr="00411CFF">
        <w:rPr>
          <w:rFonts w:ascii="Times New Roman" w:hAnsi="Times New Roman"/>
          <w:sz w:val="24"/>
        </w:rPr>
        <w:t xml:space="preserve"> </w:t>
      </w:r>
      <w:r w:rsidRPr="00411CFF">
        <w:rPr>
          <w:rFonts w:ascii="Times New Roman" w:hAnsi="Times New Roman"/>
          <w:sz w:val="24"/>
        </w:rPr>
        <w:t xml:space="preserve">of HSE’s international laboratories. </w:t>
      </w:r>
    </w:p>
    <w:p w14:paraId="0C51281B" w14:textId="6A79789B" w:rsidR="002F21FE" w:rsidRPr="00411CFF" w:rsidRDefault="002F21FE" w:rsidP="0051131B">
      <w:pPr>
        <w:spacing w:after="0"/>
        <w:ind w:firstLine="709"/>
        <w:contextualSpacing/>
        <w:jc w:val="both"/>
        <w:rPr>
          <w:rFonts w:ascii="Times New Roman" w:hAnsi="Times New Roman"/>
          <w:sz w:val="24"/>
          <w:szCs w:val="24"/>
        </w:rPr>
      </w:pPr>
      <w:r w:rsidRPr="00411CFF">
        <w:rPr>
          <w:rFonts w:ascii="Times New Roman" w:hAnsi="Times New Roman"/>
          <w:sz w:val="24"/>
        </w:rPr>
        <w:t xml:space="preserve">A substantial part of </w:t>
      </w:r>
      <w:r w:rsidR="00C52982" w:rsidRPr="00411CFF">
        <w:rPr>
          <w:rFonts w:ascii="Times New Roman" w:hAnsi="Times New Roman"/>
          <w:sz w:val="24"/>
        </w:rPr>
        <w:t xml:space="preserve">the </w:t>
      </w:r>
      <w:r w:rsidRPr="00411CFF">
        <w:rPr>
          <w:rFonts w:ascii="Times New Roman" w:hAnsi="Times New Roman"/>
          <w:sz w:val="24"/>
        </w:rPr>
        <w:t xml:space="preserve">research projects implemented at HSE </w:t>
      </w:r>
      <w:r w:rsidR="005C2ED6" w:rsidRPr="00411CFF">
        <w:rPr>
          <w:rFonts w:ascii="Times New Roman" w:hAnsi="Times New Roman"/>
          <w:sz w:val="24"/>
        </w:rPr>
        <w:t>relates</w:t>
      </w:r>
      <w:r w:rsidRPr="00411CFF">
        <w:rPr>
          <w:rFonts w:ascii="Times New Roman" w:hAnsi="Times New Roman"/>
          <w:sz w:val="24"/>
        </w:rPr>
        <w:t xml:space="preserve"> to </w:t>
      </w:r>
      <w:r w:rsidR="00AB3FEE" w:rsidRPr="00411CFF">
        <w:rPr>
          <w:rFonts w:ascii="Times New Roman" w:hAnsi="Times New Roman"/>
          <w:sz w:val="24"/>
        </w:rPr>
        <w:t xml:space="preserve">“traditional” </w:t>
      </w:r>
      <w:r w:rsidR="00E36447">
        <w:rPr>
          <w:rFonts w:ascii="Times New Roman" w:hAnsi="Times New Roman"/>
          <w:sz w:val="24"/>
        </w:rPr>
        <w:t>fields</w:t>
      </w:r>
      <w:r w:rsidR="00C52982" w:rsidRPr="00411CFF">
        <w:rPr>
          <w:rFonts w:ascii="Times New Roman" w:hAnsi="Times New Roman"/>
          <w:sz w:val="24"/>
        </w:rPr>
        <w:t>,</w:t>
      </w:r>
      <w:r w:rsidRPr="00411CFF">
        <w:rPr>
          <w:rFonts w:ascii="Times New Roman" w:hAnsi="Times New Roman"/>
          <w:sz w:val="24"/>
        </w:rPr>
        <w:t xml:space="preserve"> where </w:t>
      </w:r>
      <w:r w:rsidR="00C52982" w:rsidRPr="00411CFF">
        <w:rPr>
          <w:rFonts w:ascii="Times New Roman" w:hAnsi="Times New Roman"/>
          <w:sz w:val="24"/>
        </w:rPr>
        <w:t>the university has</w:t>
      </w:r>
      <w:r w:rsidRPr="00411CFF">
        <w:rPr>
          <w:rFonts w:ascii="Times New Roman" w:hAnsi="Times New Roman"/>
          <w:sz w:val="24"/>
        </w:rPr>
        <w:t xml:space="preserve"> already </w:t>
      </w:r>
      <w:r w:rsidR="00C52982" w:rsidRPr="00411CFF">
        <w:rPr>
          <w:rFonts w:ascii="Times New Roman" w:hAnsi="Times New Roman"/>
          <w:sz w:val="24"/>
        </w:rPr>
        <w:t xml:space="preserve">secured a </w:t>
      </w:r>
      <w:r w:rsidRPr="00411CFF">
        <w:rPr>
          <w:rFonts w:ascii="Times New Roman" w:hAnsi="Times New Roman"/>
          <w:sz w:val="24"/>
        </w:rPr>
        <w:t>strong academic position, namely</w:t>
      </w:r>
      <w:r w:rsidR="009C746C">
        <w:rPr>
          <w:rFonts w:ascii="Times New Roman" w:hAnsi="Times New Roman"/>
          <w:sz w:val="24"/>
        </w:rPr>
        <w:t>,</w:t>
      </w:r>
      <w:r w:rsidR="00C52982" w:rsidRPr="00411CFF">
        <w:rPr>
          <w:rFonts w:ascii="Times New Roman" w:hAnsi="Times New Roman"/>
          <w:sz w:val="24"/>
        </w:rPr>
        <w:t xml:space="preserve"> in </w:t>
      </w:r>
      <w:r w:rsidRPr="00411CFF">
        <w:rPr>
          <w:rFonts w:ascii="Times New Roman" w:hAnsi="Times New Roman"/>
          <w:sz w:val="24"/>
        </w:rPr>
        <w:t xml:space="preserve">economics, social sciences, humanities, cognitive sciences, and mathematics. The scope of </w:t>
      </w:r>
      <w:r w:rsidR="001A134E" w:rsidRPr="00411CFF">
        <w:rPr>
          <w:rFonts w:ascii="Times New Roman" w:hAnsi="Times New Roman"/>
          <w:sz w:val="24"/>
        </w:rPr>
        <w:t xml:space="preserve">the university’s </w:t>
      </w:r>
      <w:r w:rsidRPr="00411CFF">
        <w:rPr>
          <w:rFonts w:ascii="Times New Roman" w:hAnsi="Times New Roman"/>
          <w:sz w:val="24"/>
        </w:rPr>
        <w:t xml:space="preserve">projects in engineering and technical areas has </w:t>
      </w:r>
      <w:r w:rsidR="001A134E" w:rsidRPr="00411CFF">
        <w:rPr>
          <w:rFonts w:ascii="Times New Roman" w:hAnsi="Times New Roman"/>
          <w:sz w:val="24"/>
        </w:rPr>
        <w:t xml:space="preserve">been expanded </w:t>
      </w:r>
      <w:r w:rsidRPr="00411CFF">
        <w:rPr>
          <w:rFonts w:ascii="Times New Roman" w:hAnsi="Times New Roman"/>
          <w:sz w:val="24"/>
        </w:rPr>
        <w:t xml:space="preserve">in order to </w:t>
      </w:r>
      <w:r w:rsidR="00E36447">
        <w:rPr>
          <w:rFonts w:ascii="Times New Roman" w:hAnsi="Times New Roman"/>
          <w:sz w:val="24"/>
        </w:rPr>
        <w:t>produce</w:t>
      </w:r>
      <w:r w:rsidR="00E36447" w:rsidRPr="00411CFF">
        <w:rPr>
          <w:rFonts w:ascii="Times New Roman" w:hAnsi="Times New Roman"/>
          <w:sz w:val="24"/>
        </w:rPr>
        <w:t xml:space="preserve"> </w:t>
      </w:r>
      <w:r w:rsidR="001A134E" w:rsidRPr="00411CFF">
        <w:rPr>
          <w:rFonts w:ascii="Times New Roman" w:hAnsi="Times New Roman"/>
          <w:sz w:val="24"/>
        </w:rPr>
        <w:t>world class</w:t>
      </w:r>
      <w:r w:rsidRPr="00411CFF">
        <w:rPr>
          <w:rFonts w:ascii="Times New Roman" w:hAnsi="Times New Roman"/>
          <w:sz w:val="24"/>
        </w:rPr>
        <w:t xml:space="preserve"> res</w:t>
      </w:r>
      <w:r w:rsidR="00E36447">
        <w:rPr>
          <w:rFonts w:ascii="Times New Roman" w:hAnsi="Times New Roman"/>
          <w:sz w:val="24"/>
        </w:rPr>
        <w:t>earch</w:t>
      </w:r>
      <w:r w:rsidRPr="00411CFF">
        <w:rPr>
          <w:rFonts w:ascii="Times New Roman" w:hAnsi="Times New Roman"/>
          <w:sz w:val="24"/>
        </w:rPr>
        <w:t xml:space="preserve"> in mathematical modelling of physical processes and phenomena, information management systems, materials in electronic, microsystems and space </w:t>
      </w:r>
      <w:r w:rsidR="00D766F7" w:rsidRPr="00411CFF">
        <w:rPr>
          <w:rFonts w:ascii="Times New Roman" w:hAnsi="Times New Roman"/>
          <w:sz w:val="24"/>
        </w:rPr>
        <w:t>technologies</w:t>
      </w:r>
      <w:r w:rsidRPr="00411CFF">
        <w:rPr>
          <w:rFonts w:ascii="Times New Roman" w:hAnsi="Times New Roman"/>
          <w:sz w:val="24"/>
        </w:rPr>
        <w:t xml:space="preserve">, </w:t>
      </w:r>
      <w:r w:rsidRPr="00411CFF">
        <w:rPr>
          <w:rFonts w:ascii="Times New Roman" w:hAnsi="Times New Roman"/>
          <w:sz w:val="24"/>
        </w:rPr>
        <w:lastRenderedPageBreak/>
        <w:t xml:space="preserve">functional safety of spacecraft and </w:t>
      </w:r>
      <w:r w:rsidR="00AB3FEE" w:rsidRPr="00411CFF">
        <w:rPr>
          <w:rFonts w:ascii="Times New Roman" w:hAnsi="Times New Roman"/>
          <w:sz w:val="24"/>
        </w:rPr>
        <w:t xml:space="preserve">related </w:t>
      </w:r>
      <w:r w:rsidRPr="00411CFF">
        <w:rPr>
          <w:rFonts w:ascii="Times New Roman" w:hAnsi="Times New Roman"/>
          <w:sz w:val="24"/>
        </w:rPr>
        <w:t xml:space="preserve">systems, and applied physics. These projects not only complement HSE’s </w:t>
      </w:r>
      <w:r w:rsidR="00381961">
        <w:rPr>
          <w:rFonts w:ascii="Times New Roman" w:hAnsi="Times New Roman"/>
          <w:sz w:val="24"/>
        </w:rPr>
        <w:t>leadership</w:t>
      </w:r>
      <w:r w:rsidR="00381961" w:rsidRPr="00411CFF">
        <w:rPr>
          <w:rFonts w:ascii="Times New Roman" w:hAnsi="Times New Roman"/>
          <w:sz w:val="24"/>
        </w:rPr>
        <w:t xml:space="preserve"> </w:t>
      </w:r>
      <w:r w:rsidRPr="00411CFF">
        <w:rPr>
          <w:rFonts w:ascii="Times New Roman" w:hAnsi="Times New Roman"/>
          <w:sz w:val="24"/>
        </w:rPr>
        <w:t xml:space="preserve">in </w:t>
      </w:r>
      <w:r w:rsidR="001A134E" w:rsidRPr="00411CFF">
        <w:rPr>
          <w:rFonts w:ascii="Times New Roman" w:hAnsi="Times New Roman"/>
          <w:sz w:val="24"/>
        </w:rPr>
        <w:t>its “</w:t>
      </w:r>
      <w:r w:rsidRPr="00411CFF">
        <w:rPr>
          <w:rFonts w:ascii="Times New Roman" w:hAnsi="Times New Roman"/>
          <w:sz w:val="24"/>
        </w:rPr>
        <w:t xml:space="preserve">traditional </w:t>
      </w:r>
      <w:r w:rsidR="001A134E" w:rsidRPr="00411CFF">
        <w:rPr>
          <w:rFonts w:ascii="Times New Roman" w:hAnsi="Times New Roman"/>
          <w:sz w:val="24"/>
        </w:rPr>
        <w:t xml:space="preserve">domains”, </w:t>
      </w:r>
      <w:r w:rsidRPr="00411CFF">
        <w:rPr>
          <w:rFonts w:ascii="Times New Roman" w:hAnsi="Times New Roman"/>
          <w:sz w:val="24"/>
        </w:rPr>
        <w:t xml:space="preserve">but also serve the interests of Russian </w:t>
      </w:r>
      <w:proofErr w:type="spellStart"/>
      <w:r w:rsidRPr="00411CFF">
        <w:rPr>
          <w:rFonts w:ascii="Times New Roman" w:hAnsi="Times New Roman"/>
          <w:sz w:val="24"/>
        </w:rPr>
        <w:t>defense</w:t>
      </w:r>
      <w:proofErr w:type="spellEnd"/>
      <w:r w:rsidRPr="00411CFF">
        <w:rPr>
          <w:rFonts w:ascii="Times New Roman" w:hAnsi="Times New Roman"/>
          <w:sz w:val="24"/>
        </w:rPr>
        <w:t xml:space="preserve">, </w:t>
      </w:r>
      <w:r w:rsidR="002B5263" w:rsidRPr="00411CFF">
        <w:rPr>
          <w:rFonts w:ascii="Times New Roman" w:hAnsi="Times New Roman"/>
          <w:sz w:val="24"/>
        </w:rPr>
        <w:t>aero</w:t>
      </w:r>
      <w:r w:rsidRPr="00411CFF">
        <w:rPr>
          <w:rFonts w:ascii="Times New Roman" w:hAnsi="Times New Roman"/>
          <w:sz w:val="24"/>
        </w:rPr>
        <w:t>space, nuclear, electronics, and radio-electronics industries.</w:t>
      </w:r>
    </w:p>
    <w:p w14:paraId="207C50F4" w14:textId="245BBA1A" w:rsidR="002F21FE" w:rsidRPr="00411CFF" w:rsidRDefault="002F21FE" w:rsidP="0051131B">
      <w:pPr>
        <w:tabs>
          <w:tab w:val="num" w:pos="360"/>
        </w:tabs>
        <w:spacing w:after="0"/>
        <w:ind w:firstLine="709"/>
        <w:contextualSpacing/>
        <w:jc w:val="both"/>
        <w:rPr>
          <w:rFonts w:ascii="Times New Roman" w:hAnsi="Times New Roman"/>
          <w:sz w:val="24"/>
          <w:szCs w:val="24"/>
        </w:rPr>
      </w:pPr>
      <w:r w:rsidRPr="00411CFF">
        <w:rPr>
          <w:rFonts w:ascii="Times New Roman" w:hAnsi="Times New Roman"/>
          <w:sz w:val="24"/>
        </w:rPr>
        <w:t xml:space="preserve">In 2016, </w:t>
      </w:r>
      <w:r w:rsidR="001A134E" w:rsidRPr="00411CFF">
        <w:rPr>
          <w:rFonts w:ascii="Times New Roman" w:hAnsi="Times New Roman"/>
          <w:sz w:val="24"/>
        </w:rPr>
        <w:t xml:space="preserve">HSE </w:t>
      </w:r>
      <w:r w:rsidR="00E36447">
        <w:rPr>
          <w:rFonts w:ascii="Times New Roman" w:hAnsi="Times New Roman"/>
          <w:sz w:val="24"/>
        </w:rPr>
        <w:t>conducted</w:t>
      </w:r>
      <w:r w:rsidRPr="00411CFF">
        <w:rPr>
          <w:rFonts w:ascii="Times New Roman" w:hAnsi="Times New Roman"/>
          <w:sz w:val="24"/>
        </w:rPr>
        <w:t xml:space="preserve"> 136 research projects and 15 large-scale </w:t>
      </w:r>
      <w:r w:rsidR="001076CE">
        <w:rPr>
          <w:rFonts w:ascii="Times New Roman" w:hAnsi="Times New Roman"/>
          <w:sz w:val="24"/>
        </w:rPr>
        <w:t>monitoring projects</w:t>
      </w:r>
      <w:r w:rsidRPr="00411CFF">
        <w:rPr>
          <w:rFonts w:ascii="Times New Roman" w:hAnsi="Times New Roman"/>
          <w:sz w:val="24"/>
        </w:rPr>
        <w:t>. Several of th</w:t>
      </w:r>
      <w:r w:rsidR="00381961">
        <w:rPr>
          <w:rFonts w:ascii="Times New Roman" w:hAnsi="Times New Roman"/>
          <w:sz w:val="24"/>
        </w:rPr>
        <w:t>o</w:t>
      </w:r>
      <w:r w:rsidRPr="00411CFF">
        <w:rPr>
          <w:rFonts w:ascii="Times New Roman" w:hAnsi="Times New Roman"/>
          <w:sz w:val="24"/>
        </w:rPr>
        <w:t xml:space="preserve">se projects </w:t>
      </w:r>
      <w:r w:rsidR="00EC763A" w:rsidRPr="00411CFF">
        <w:rPr>
          <w:rFonts w:ascii="Times New Roman" w:hAnsi="Times New Roman"/>
          <w:sz w:val="24"/>
        </w:rPr>
        <w:t xml:space="preserve">were </w:t>
      </w:r>
      <w:r w:rsidRPr="00411CFF">
        <w:rPr>
          <w:rFonts w:ascii="Times New Roman" w:hAnsi="Times New Roman"/>
          <w:sz w:val="24"/>
        </w:rPr>
        <w:t xml:space="preserve">implemented in partnership with OECD, the UNESCO Institute for Statistics, </w:t>
      </w:r>
      <w:r w:rsidR="001076CE" w:rsidRPr="00D301E4">
        <w:rPr>
          <w:rFonts w:ascii="Times New Roman" w:hAnsi="Times New Roman"/>
          <w:sz w:val="24"/>
        </w:rPr>
        <w:t>Eurost</w:t>
      </w:r>
      <w:r w:rsidR="001076CE">
        <w:rPr>
          <w:rFonts w:ascii="Times New Roman" w:hAnsi="Times New Roman"/>
          <w:sz w:val="24"/>
        </w:rPr>
        <w:t>at</w:t>
      </w:r>
      <w:r w:rsidRPr="00411CFF">
        <w:rPr>
          <w:rFonts w:ascii="Times New Roman" w:hAnsi="Times New Roman"/>
          <w:sz w:val="24"/>
        </w:rPr>
        <w:t>, etc.</w:t>
      </w:r>
    </w:p>
    <w:p w14:paraId="5C3A5C82" w14:textId="4DBAC2C5" w:rsidR="002F21FE" w:rsidRPr="00411CFF" w:rsidRDefault="00381961" w:rsidP="0051131B">
      <w:pPr>
        <w:spacing w:after="0"/>
        <w:ind w:firstLine="709"/>
        <w:contextualSpacing/>
        <w:jc w:val="both"/>
        <w:rPr>
          <w:rFonts w:ascii="Times New Roman" w:hAnsi="Times New Roman"/>
          <w:sz w:val="24"/>
          <w:szCs w:val="24"/>
        </w:rPr>
      </w:pPr>
      <w:r>
        <w:rPr>
          <w:rFonts w:ascii="Times New Roman" w:hAnsi="Times New Roman"/>
          <w:sz w:val="24"/>
        </w:rPr>
        <w:t>T</w:t>
      </w:r>
      <w:r w:rsidR="00EC763A" w:rsidRPr="00411CFF">
        <w:rPr>
          <w:rFonts w:ascii="Times New Roman" w:hAnsi="Times New Roman"/>
          <w:sz w:val="24"/>
        </w:rPr>
        <w:t xml:space="preserve">he </w:t>
      </w:r>
      <w:r w:rsidR="002F21FE" w:rsidRPr="00411CFF">
        <w:rPr>
          <w:rFonts w:ascii="Times New Roman" w:hAnsi="Times New Roman"/>
          <w:sz w:val="24"/>
        </w:rPr>
        <w:t xml:space="preserve">Joint Economic and Social Data Archive hosted on </w:t>
      </w:r>
      <w:r w:rsidR="00B019E0" w:rsidRPr="00411CFF">
        <w:rPr>
          <w:rFonts w:ascii="Times New Roman" w:hAnsi="Times New Roman"/>
          <w:sz w:val="24"/>
        </w:rPr>
        <w:t>HSE’s</w:t>
      </w:r>
      <w:r w:rsidR="002F21FE" w:rsidRPr="00411CFF">
        <w:rPr>
          <w:rFonts w:ascii="Times New Roman" w:hAnsi="Times New Roman"/>
          <w:sz w:val="24"/>
        </w:rPr>
        <w:t xml:space="preserve"> website </w:t>
      </w:r>
      <w:proofErr w:type="gramStart"/>
      <w:r w:rsidR="0066073D" w:rsidRPr="00411CFF">
        <w:rPr>
          <w:rFonts w:ascii="Times New Roman" w:hAnsi="Times New Roman"/>
          <w:sz w:val="24"/>
        </w:rPr>
        <w:t>contain</w:t>
      </w:r>
      <w:r w:rsidR="0088486D" w:rsidRPr="00411CFF">
        <w:rPr>
          <w:rFonts w:ascii="Times New Roman" w:hAnsi="Times New Roman"/>
          <w:sz w:val="24"/>
        </w:rPr>
        <w:t>s</w:t>
      </w:r>
      <w:proofErr w:type="gramEnd"/>
      <w:r w:rsidR="002F21FE" w:rsidRPr="00411CFF">
        <w:rPr>
          <w:rFonts w:ascii="Times New Roman" w:hAnsi="Times New Roman"/>
          <w:sz w:val="24"/>
        </w:rPr>
        <w:t xml:space="preserve"> data on 182 research projects</w:t>
      </w:r>
      <w:r w:rsidR="00963446">
        <w:rPr>
          <w:rFonts w:ascii="Times New Roman" w:hAnsi="Times New Roman"/>
          <w:sz w:val="24"/>
        </w:rPr>
        <w:t>; in addition,</w:t>
      </w:r>
      <w:r w:rsidR="006F70B0" w:rsidRPr="00411CFF">
        <w:rPr>
          <w:rFonts w:ascii="Times New Roman" w:hAnsi="Times New Roman"/>
          <w:sz w:val="24"/>
        </w:rPr>
        <w:t xml:space="preserve"> 2,</w:t>
      </w:r>
      <w:r w:rsidR="0066073D" w:rsidRPr="00411CFF">
        <w:rPr>
          <w:rFonts w:ascii="Times New Roman" w:hAnsi="Times New Roman"/>
          <w:sz w:val="24"/>
        </w:rPr>
        <w:t xml:space="preserve">767 individual </w:t>
      </w:r>
      <w:r w:rsidR="002F21FE" w:rsidRPr="00411CFF">
        <w:rPr>
          <w:rFonts w:ascii="Times New Roman" w:hAnsi="Times New Roman"/>
          <w:sz w:val="24"/>
        </w:rPr>
        <w:t>databases are available</w:t>
      </w:r>
      <w:r w:rsidR="0066073D" w:rsidRPr="00411CFF">
        <w:rPr>
          <w:rFonts w:ascii="Times New Roman" w:hAnsi="Times New Roman"/>
          <w:sz w:val="24"/>
        </w:rPr>
        <w:t xml:space="preserve"> </w:t>
      </w:r>
      <w:r w:rsidR="00E36447">
        <w:rPr>
          <w:rFonts w:ascii="Times New Roman" w:hAnsi="Times New Roman"/>
          <w:sz w:val="24"/>
        </w:rPr>
        <w:t xml:space="preserve">to public </w:t>
      </w:r>
      <w:r w:rsidR="0066073D" w:rsidRPr="00411CFF">
        <w:rPr>
          <w:rFonts w:ascii="Times New Roman" w:hAnsi="Times New Roman"/>
          <w:sz w:val="24"/>
        </w:rPr>
        <w:t>through this resource</w:t>
      </w:r>
      <w:r w:rsidR="00E36447">
        <w:rPr>
          <w:rFonts w:ascii="Times New Roman" w:hAnsi="Times New Roman"/>
          <w:sz w:val="24"/>
        </w:rPr>
        <w:t xml:space="preserve">. </w:t>
      </w:r>
      <w:r w:rsidR="002F21FE" w:rsidRPr="00411CFF">
        <w:rPr>
          <w:rFonts w:ascii="Times New Roman" w:hAnsi="Times New Roman"/>
          <w:sz w:val="24"/>
        </w:rPr>
        <w:t xml:space="preserve"> </w:t>
      </w:r>
      <w:r w:rsidR="00E36447">
        <w:rPr>
          <w:rFonts w:ascii="Times New Roman" w:hAnsi="Times New Roman"/>
          <w:sz w:val="24"/>
        </w:rPr>
        <w:t>A</w:t>
      </w:r>
      <w:r w:rsidR="002F21FE" w:rsidRPr="00411CFF">
        <w:rPr>
          <w:rFonts w:ascii="Times New Roman" w:hAnsi="Times New Roman"/>
          <w:sz w:val="24"/>
        </w:rPr>
        <w:t>bout 30,000 individual users visited the archive’s website in 2016, and the total number of page views has reached 233,000. The Joint Economic and Social Data Archive is part of the International Association of Social Science Information Service and Technology and</w:t>
      </w:r>
      <w:r w:rsidR="006D7DB2" w:rsidRPr="00411CFF">
        <w:rPr>
          <w:rFonts w:ascii="Times New Roman" w:hAnsi="Times New Roman"/>
          <w:sz w:val="24"/>
        </w:rPr>
        <w:t xml:space="preserve"> also</w:t>
      </w:r>
      <w:r w:rsidR="002F21FE" w:rsidRPr="00411CFF">
        <w:rPr>
          <w:rFonts w:ascii="Times New Roman" w:hAnsi="Times New Roman"/>
          <w:sz w:val="24"/>
        </w:rPr>
        <w:t xml:space="preserve"> </w:t>
      </w:r>
      <w:proofErr w:type="gramStart"/>
      <w:r w:rsidR="00D52D70">
        <w:rPr>
          <w:rFonts w:ascii="Times New Roman" w:hAnsi="Times New Roman"/>
          <w:sz w:val="24"/>
        </w:rPr>
        <w:t>collaborates</w:t>
      </w:r>
      <w:proofErr w:type="gramEnd"/>
      <w:r w:rsidR="002F21FE" w:rsidRPr="00411CFF">
        <w:rPr>
          <w:rFonts w:ascii="Times New Roman" w:hAnsi="Times New Roman"/>
          <w:sz w:val="24"/>
        </w:rPr>
        <w:t xml:space="preserve"> with the Council of European Social Science Data Archives </w:t>
      </w:r>
      <w:r w:rsidR="0066073D" w:rsidRPr="00411CFF">
        <w:rPr>
          <w:rFonts w:ascii="Times New Roman" w:hAnsi="Times New Roman"/>
          <w:sz w:val="24"/>
        </w:rPr>
        <w:t>(</w:t>
      </w:r>
      <w:r w:rsidR="002F21FE" w:rsidRPr="00411CFF">
        <w:rPr>
          <w:rFonts w:ascii="Times New Roman" w:hAnsi="Times New Roman"/>
          <w:sz w:val="24"/>
        </w:rPr>
        <w:t>CESSDA</w:t>
      </w:r>
      <w:r w:rsidR="00F33A15" w:rsidRPr="00411CFF">
        <w:rPr>
          <w:rFonts w:ascii="Times New Roman" w:hAnsi="Times New Roman"/>
          <w:sz w:val="24"/>
        </w:rPr>
        <w:t>)</w:t>
      </w:r>
      <w:r w:rsidR="002F21FE" w:rsidRPr="00411CFF">
        <w:rPr>
          <w:rFonts w:ascii="Times New Roman" w:hAnsi="Times New Roman"/>
          <w:sz w:val="24"/>
        </w:rPr>
        <w:t>.</w:t>
      </w:r>
    </w:p>
    <w:p w14:paraId="45FBC616" w14:textId="1460EC06" w:rsidR="002F21FE" w:rsidRPr="00411CFF" w:rsidRDefault="00963446" w:rsidP="0051131B">
      <w:pPr>
        <w:spacing w:after="0"/>
        <w:ind w:firstLine="709"/>
        <w:contextualSpacing/>
        <w:jc w:val="both"/>
        <w:rPr>
          <w:rFonts w:ascii="Times New Roman" w:hAnsi="Times New Roman"/>
          <w:sz w:val="24"/>
          <w:szCs w:val="24"/>
        </w:rPr>
      </w:pPr>
      <w:r>
        <w:rPr>
          <w:rFonts w:ascii="Times New Roman" w:hAnsi="Times New Roman"/>
          <w:sz w:val="24"/>
        </w:rPr>
        <w:t>T</w:t>
      </w:r>
      <w:r w:rsidRPr="00411CFF">
        <w:rPr>
          <w:rFonts w:ascii="Times New Roman" w:hAnsi="Times New Roman"/>
          <w:sz w:val="24"/>
        </w:rPr>
        <w:t>o ensure high quality</w:t>
      </w:r>
      <w:r>
        <w:rPr>
          <w:rFonts w:ascii="Times New Roman" w:hAnsi="Times New Roman"/>
          <w:sz w:val="24"/>
        </w:rPr>
        <w:t>,</w:t>
      </w:r>
      <w:r w:rsidRPr="00411CFF">
        <w:rPr>
          <w:rFonts w:ascii="Times New Roman" w:hAnsi="Times New Roman"/>
          <w:sz w:val="24"/>
        </w:rPr>
        <w:t xml:space="preserve"> </w:t>
      </w:r>
      <w:r w:rsidR="003B03BA">
        <w:rPr>
          <w:rFonts w:ascii="Times New Roman" w:hAnsi="Times New Roman"/>
          <w:sz w:val="24"/>
        </w:rPr>
        <w:t xml:space="preserve">all </w:t>
      </w:r>
      <w:r>
        <w:rPr>
          <w:rFonts w:ascii="Times New Roman" w:hAnsi="Times New Roman"/>
          <w:sz w:val="24"/>
        </w:rPr>
        <w:t>r</w:t>
      </w:r>
      <w:r w:rsidR="002F21FE" w:rsidRPr="00411CFF">
        <w:rPr>
          <w:rFonts w:ascii="Times New Roman" w:hAnsi="Times New Roman"/>
          <w:sz w:val="24"/>
        </w:rPr>
        <w:t xml:space="preserve">esearch projects </w:t>
      </w:r>
      <w:r w:rsidR="000E5026" w:rsidRPr="00411CFF">
        <w:rPr>
          <w:rFonts w:ascii="Times New Roman" w:hAnsi="Times New Roman"/>
          <w:sz w:val="24"/>
        </w:rPr>
        <w:t xml:space="preserve">are subject to </w:t>
      </w:r>
      <w:r w:rsidR="002F21FE" w:rsidRPr="00411CFF">
        <w:rPr>
          <w:rFonts w:ascii="Times New Roman" w:hAnsi="Times New Roman"/>
          <w:sz w:val="24"/>
        </w:rPr>
        <w:t>annual evaluations by international and Russian experts</w:t>
      </w:r>
      <w:r w:rsidR="004F16D9" w:rsidRPr="00411CFF">
        <w:rPr>
          <w:rFonts w:ascii="Times New Roman" w:hAnsi="Times New Roman"/>
          <w:sz w:val="24"/>
        </w:rPr>
        <w:t xml:space="preserve">. In </w:t>
      </w:r>
      <w:r w:rsidR="002F21FE" w:rsidRPr="00411CFF">
        <w:rPr>
          <w:rFonts w:ascii="Times New Roman" w:hAnsi="Times New Roman"/>
          <w:sz w:val="24"/>
        </w:rPr>
        <w:t xml:space="preserve">2016, </w:t>
      </w:r>
      <w:r w:rsidR="007B58A0" w:rsidRPr="00411CFF">
        <w:rPr>
          <w:rFonts w:ascii="Times New Roman" w:hAnsi="Times New Roman"/>
          <w:sz w:val="24"/>
        </w:rPr>
        <w:t xml:space="preserve">a total of </w:t>
      </w:r>
      <w:r w:rsidR="002F21FE" w:rsidRPr="00411CFF">
        <w:rPr>
          <w:rFonts w:ascii="Times New Roman" w:hAnsi="Times New Roman"/>
          <w:sz w:val="24"/>
        </w:rPr>
        <w:t xml:space="preserve">297 projects passed </w:t>
      </w:r>
      <w:r w:rsidR="003B03BA">
        <w:rPr>
          <w:rFonts w:ascii="Times New Roman" w:hAnsi="Times New Roman"/>
          <w:sz w:val="24"/>
        </w:rPr>
        <w:t>rigorous</w:t>
      </w:r>
      <w:r w:rsidR="002F21FE" w:rsidRPr="00411CFF">
        <w:rPr>
          <w:rFonts w:ascii="Times New Roman" w:hAnsi="Times New Roman"/>
          <w:sz w:val="24"/>
        </w:rPr>
        <w:t xml:space="preserve"> evaluations, which </w:t>
      </w:r>
      <w:r w:rsidR="009F0451" w:rsidRPr="00411CFF">
        <w:rPr>
          <w:rFonts w:ascii="Times New Roman" w:hAnsi="Times New Roman"/>
          <w:sz w:val="24"/>
        </w:rPr>
        <w:t>follow</w:t>
      </w:r>
      <w:r w:rsidR="002F21FE" w:rsidRPr="00411CFF">
        <w:rPr>
          <w:rFonts w:ascii="Times New Roman" w:hAnsi="Times New Roman"/>
          <w:sz w:val="24"/>
        </w:rPr>
        <w:t xml:space="preserve"> </w:t>
      </w:r>
      <w:r w:rsidR="003B03BA">
        <w:rPr>
          <w:rFonts w:ascii="Times New Roman" w:hAnsi="Times New Roman"/>
          <w:sz w:val="24"/>
        </w:rPr>
        <w:t>the approved</w:t>
      </w:r>
      <w:r w:rsidR="003B03BA" w:rsidRPr="00411CFF">
        <w:rPr>
          <w:rFonts w:ascii="Times New Roman" w:hAnsi="Times New Roman"/>
          <w:sz w:val="24"/>
        </w:rPr>
        <w:t xml:space="preserve"> </w:t>
      </w:r>
      <w:r w:rsidR="002F21FE" w:rsidRPr="00411CFF">
        <w:rPr>
          <w:rFonts w:ascii="Times New Roman" w:hAnsi="Times New Roman"/>
          <w:sz w:val="24"/>
        </w:rPr>
        <w:t>standards</w:t>
      </w:r>
      <w:r w:rsidR="003B03BA">
        <w:rPr>
          <w:rFonts w:ascii="Times New Roman" w:hAnsi="Times New Roman"/>
          <w:sz w:val="24"/>
        </w:rPr>
        <w:t xml:space="preserve"> and</w:t>
      </w:r>
      <w:r w:rsidR="003A6E56" w:rsidRPr="00411CFF">
        <w:rPr>
          <w:rFonts w:ascii="Times New Roman" w:hAnsi="Times New Roman"/>
          <w:sz w:val="24"/>
        </w:rPr>
        <w:t xml:space="preserve"> </w:t>
      </w:r>
      <w:r w:rsidR="002F21FE" w:rsidRPr="00411CFF">
        <w:rPr>
          <w:rFonts w:ascii="Times New Roman" w:hAnsi="Times New Roman"/>
          <w:sz w:val="24"/>
        </w:rPr>
        <w:t>criteria</w:t>
      </w:r>
      <w:r w:rsidR="00D52D70">
        <w:rPr>
          <w:rFonts w:ascii="Times New Roman" w:hAnsi="Times New Roman"/>
          <w:sz w:val="24"/>
        </w:rPr>
        <w:t xml:space="preserve">. </w:t>
      </w:r>
      <w:r w:rsidR="00C0656F">
        <w:rPr>
          <w:rFonts w:ascii="Times New Roman" w:hAnsi="Times New Roman"/>
          <w:sz w:val="24"/>
        </w:rPr>
        <w:t>Such evaluations, as well as r</w:t>
      </w:r>
      <w:r w:rsidR="002F21FE" w:rsidRPr="00411CFF">
        <w:rPr>
          <w:rFonts w:ascii="Times New Roman" w:hAnsi="Times New Roman"/>
          <w:sz w:val="24"/>
        </w:rPr>
        <w:t>ecommendations</w:t>
      </w:r>
      <w:r w:rsidR="00D52D70">
        <w:rPr>
          <w:rFonts w:ascii="Times New Roman" w:hAnsi="Times New Roman"/>
          <w:sz w:val="24"/>
        </w:rPr>
        <w:t xml:space="preserve"> given to project teams following </w:t>
      </w:r>
      <w:r w:rsidR="00C0656F">
        <w:rPr>
          <w:rFonts w:ascii="Times New Roman" w:hAnsi="Times New Roman"/>
          <w:sz w:val="24"/>
        </w:rPr>
        <w:t xml:space="preserve">each </w:t>
      </w:r>
      <w:r w:rsidR="00D52D70">
        <w:rPr>
          <w:rFonts w:ascii="Times New Roman" w:hAnsi="Times New Roman"/>
          <w:sz w:val="24"/>
        </w:rPr>
        <w:t>evaluation</w:t>
      </w:r>
      <w:r w:rsidR="00C0656F">
        <w:rPr>
          <w:rFonts w:ascii="Times New Roman" w:hAnsi="Times New Roman"/>
          <w:sz w:val="24"/>
        </w:rPr>
        <w:t>,</w:t>
      </w:r>
      <w:r w:rsidR="002F21FE" w:rsidRPr="00411CFF">
        <w:rPr>
          <w:rFonts w:ascii="Times New Roman" w:hAnsi="Times New Roman"/>
          <w:sz w:val="24"/>
        </w:rPr>
        <w:t xml:space="preserve"> </w:t>
      </w:r>
      <w:r w:rsidR="00894E39" w:rsidRPr="00411CFF">
        <w:rPr>
          <w:rFonts w:ascii="Times New Roman" w:hAnsi="Times New Roman"/>
          <w:sz w:val="24"/>
        </w:rPr>
        <w:t xml:space="preserve">encourage </w:t>
      </w:r>
      <w:r w:rsidR="002F21FE" w:rsidRPr="00411CFF">
        <w:rPr>
          <w:rFonts w:ascii="Times New Roman" w:hAnsi="Times New Roman"/>
          <w:sz w:val="24"/>
        </w:rPr>
        <w:t>competition among HSE</w:t>
      </w:r>
      <w:r w:rsidR="00F253B4" w:rsidRPr="00411CFF">
        <w:rPr>
          <w:rFonts w:ascii="Times New Roman" w:hAnsi="Times New Roman"/>
          <w:sz w:val="24"/>
        </w:rPr>
        <w:t>’s</w:t>
      </w:r>
      <w:r w:rsidR="002F21FE" w:rsidRPr="00411CFF">
        <w:rPr>
          <w:rFonts w:ascii="Times New Roman" w:hAnsi="Times New Roman"/>
          <w:sz w:val="24"/>
        </w:rPr>
        <w:t xml:space="preserve"> researchers and research teams.</w:t>
      </w:r>
    </w:p>
    <w:p w14:paraId="66EB122E" w14:textId="6F739431" w:rsidR="002F21FE" w:rsidRPr="00411CFF" w:rsidRDefault="002F21FE" w:rsidP="0051131B">
      <w:pPr>
        <w:spacing w:after="0"/>
        <w:ind w:firstLine="709"/>
        <w:jc w:val="both"/>
        <w:rPr>
          <w:rFonts w:ascii="Times New Roman" w:hAnsi="Times New Roman"/>
          <w:color w:val="000000"/>
          <w:sz w:val="24"/>
          <w:szCs w:val="24"/>
        </w:rPr>
      </w:pPr>
      <w:r w:rsidRPr="00411CFF">
        <w:rPr>
          <w:rFonts w:ascii="Times New Roman" w:hAnsi="Times New Roman"/>
          <w:sz w:val="24"/>
        </w:rPr>
        <w:t xml:space="preserve">In 2016, </w:t>
      </w:r>
      <w:r w:rsidR="007F1097" w:rsidRPr="00411CFF">
        <w:rPr>
          <w:rFonts w:ascii="Times New Roman" w:hAnsi="Times New Roman"/>
          <w:sz w:val="24"/>
        </w:rPr>
        <w:t xml:space="preserve">14 </w:t>
      </w:r>
      <w:r w:rsidRPr="00411CFF">
        <w:rPr>
          <w:rFonts w:ascii="Times New Roman" w:hAnsi="Times New Roman"/>
          <w:sz w:val="24"/>
        </w:rPr>
        <w:t xml:space="preserve">scientific journals published at HSE </w:t>
      </w:r>
      <w:r w:rsidR="00805D9E" w:rsidRPr="00411CFF">
        <w:rPr>
          <w:rFonts w:ascii="Times New Roman" w:hAnsi="Times New Roman"/>
          <w:sz w:val="24"/>
        </w:rPr>
        <w:t>met</w:t>
      </w:r>
      <w:r w:rsidRPr="00411CFF">
        <w:rPr>
          <w:rFonts w:ascii="Times New Roman" w:hAnsi="Times New Roman"/>
          <w:sz w:val="24"/>
        </w:rPr>
        <w:t xml:space="preserve"> all international standards and requirements</w:t>
      </w:r>
      <w:r w:rsidR="004224AF">
        <w:rPr>
          <w:rFonts w:ascii="Times New Roman" w:hAnsi="Times New Roman"/>
          <w:sz w:val="24"/>
        </w:rPr>
        <w:t xml:space="preserve"> and</w:t>
      </w:r>
      <w:r w:rsidRPr="00411CFF">
        <w:rPr>
          <w:rFonts w:ascii="Times New Roman" w:hAnsi="Times New Roman"/>
          <w:sz w:val="24"/>
        </w:rPr>
        <w:t xml:space="preserve"> 10 of them are currently indexed in </w:t>
      </w:r>
      <w:r w:rsidR="00F253B4" w:rsidRPr="00411CFF">
        <w:rPr>
          <w:rFonts w:ascii="Times New Roman" w:hAnsi="Times New Roman"/>
          <w:sz w:val="24"/>
        </w:rPr>
        <w:t xml:space="preserve">the </w:t>
      </w:r>
      <w:r w:rsidRPr="00411CFF">
        <w:rPr>
          <w:rFonts w:ascii="Times New Roman" w:hAnsi="Times New Roman"/>
          <w:sz w:val="24"/>
        </w:rPr>
        <w:t>Scopus and Web of Science</w:t>
      </w:r>
      <w:r w:rsidR="00F253B4" w:rsidRPr="00411CFF">
        <w:rPr>
          <w:rFonts w:ascii="Times New Roman" w:hAnsi="Times New Roman"/>
          <w:sz w:val="24"/>
        </w:rPr>
        <w:t xml:space="preserve"> databases</w:t>
      </w:r>
      <w:r w:rsidR="00581E90">
        <w:rPr>
          <w:rFonts w:ascii="Times New Roman" w:hAnsi="Times New Roman"/>
          <w:sz w:val="24"/>
        </w:rPr>
        <w:t xml:space="preserve"> </w:t>
      </w:r>
      <w:r w:rsidR="00581E90" w:rsidRPr="00411CFF">
        <w:rPr>
          <w:rFonts w:ascii="Times New Roman" w:hAnsi="Times New Roman"/>
          <w:sz w:val="24"/>
        </w:rPr>
        <w:t>(</w:t>
      </w:r>
      <w:r w:rsidR="00581E90">
        <w:rPr>
          <w:rFonts w:ascii="Times New Roman" w:hAnsi="Times New Roman"/>
          <w:sz w:val="24"/>
        </w:rPr>
        <w:t>compared to only</w:t>
      </w:r>
      <w:r w:rsidR="00581E90" w:rsidRPr="00411CFF">
        <w:rPr>
          <w:rFonts w:ascii="Times New Roman" w:hAnsi="Times New Roman"/>
          <w:sz w:val="24"/>
        </w:rPr>
        <w:t xml:space="preserve"> three in 2015)</w:t>
      </w:r>
      <w:r w:rsidRPr="00411CFF">
        <w:rPr>
          <w:rFonts w:ascii="Times New Roman" w:hAnsi="Times New Roman"/>
          <w:sz w:val="24"/>
        </w:rPr>
        <w:t xml:space="preserve">. </w:t>
      </w:r>
    </w:p>
    <w:p w14:paraId="632566E5" w14:textId="169F8A8F" w:rsidR="002F21FE" w:rsidRPr="00411CFF" w:rsidRDefault="004224AF" w:rsidP="0051131B">
      <w:pPr>
        <w:spacing w:after="0"/>
        <w:ind w:firstLine="709"/>
        <w:jc w:val="both"/>
        <w:rPr>
          <w:rFonts w:ascii="Times New Roman" w:hAnsi="Times New Roman"/>
          <w:sz w:val="24"/>
          <w:szCs w:val="24"/>
        </w:rPr>
      </w:pPr>
      <w:r>
        <w:rPr>
          <w:rFonts w:ascii="Times New Roman" w:hAnsi="Times New Roman"/>
          <w:sz w:val="24"/>
        </w:rPr>
        <w:t>To promote</w:t>
      </w:r>
      <w:r w:rsidR="002F21FE" w:rsidRPr="00411CFF">
        <w:rPr>
          <w:rFonts w:ascii="Times New Roman" w:hAnsi="Times New Roman"/>
          <w:sz w:val="24"/>
        </w:rPr>
        <w:t xml:space="preserve"> HSE research </w:t>
      </w:r>
      <w:r>
        <w:rPr>
          <w:rFonts w:ascii="Times New Roman" w:hAnsi="Times New Roman"/>
          <w:sz w:val="24"/>
        </w:rPr>
        <w:t>globally</w:t>
      </w:r>
      <w:r w:rsidR="002F21FE" w:rsidRPr="00411CFF">
        <w:rPr>
          <w:rFonts w:ascii="Times New Roman" w:hAnsi="Times New Roman"/>
          <w:sz w:val="24"/>
        </w:rPr>
        <w:t xml:space="preserve">, the university </w:t>
      </w:r>
      <w:r>
        <w:rPr>
          <w:rFonts w:ascii="Times New Roman" w:hAnsi="Times New Roman"/>
          <w:sz w:val="24"/>
        </w:rPr>
        <w:t>distributes</w:t>
      </w:r>
      <w:r w:rsidRPr="00411CFF">
        <w:rPr>
          <w:rFonts w:ascii="Times New Roman" w:hAnsi="Times New Roman"/>
          <w:sz w:val="24"/>
        </w:rPr>
        <w:t xml:space="preserve"> </w:t>
      </w:r>
      <w:r w:rsidR="002F21FE" w:rsidRPr="00411CFF">
        <w:rPr>
          <w:rFonts w:ascii="Times New Roman" w:hAnsi="Times New Roman"/>
          <w:sz w:val="24"/>
        </w:rPr>
        <w:t>16 series of preprints</w:t>
      </w:r>
      <w:r w:rsidR="001B716C" w:rsidRPr="00411CFF">
        <w:rPr>
          <w:rFonts w:ascii="Times New Roman" w:hAnsi="Times New Roman"/>
          <w:sz w:val="24"/>
        </w:rPr>
        <w:t>, which are</w:t>
      </w:r>
      <w:r w:rsidR="002F21FE" w:rsidRPr="00411CFF">
        <w:rPr>
          <w:rFonts w:ascii="Times New Roman" w:hAnsi="Times New Roman"/>
          <w:sz w:val="24"/>
        </w:rPr>
        <w:t xml:space="preserve"> published in English </w:t>
      </w:r>
      <w:r w:rsidR="001B716C" w:rsidRPr="00411CFF">
        <w:rPr>
          <w:rFonts w:ascii="Times New Roman" w:hAnsi="Times New Roman"/>
          <w:sz w:val="24"/>
        </w:rPr>
        <w:t xml:space="preserve">and available </w:t>
      </w:r>
      <w:r>
        <w:rPr>
          <w:rFonts w:ascii="Times New Roman" w:hAnsi="Times New Roman"/>
          <w:sz w:val="24"/>
        </w:rPr>
        <w:t>in</w:t>
      </w:r>
      <w:r w:rsidR="002F21FE" w:rsidRPr="00411CFF">
        <w:rPr>
          <w:rFonts w:ascii="Times New Roman" w:hAnsi="Times New Roman"/>
          <w:sz w:val="24"/>
        </w:rPr>
        <w:t xml:space="preserve"> open databases</w:t>
      </w:r>
      <w:r w:rsidR="001B716C" w:rsidRPr="00411CFF">
        <w:rPr>
          <w:rFonts w:ascii="Times New Roman" w:hAnsi="Times New Roman"/>
          <w:sz w:val="24"/>
        </w:rPr>
        <w:t xml:space="preserve">. A total of </w:t>
      </w:r>
      <w:r w:rsidR="002F21FE" w:rsidRPr="00411CFF">
        <w:rPr>
          <w:rFonts w:ascii="Times New Roman" w:hAnsi="Times New Roman"/>
          <w:sz w:val="24"/>
        </w:rPr>
        <w:t>150 preprints were published in 2016.</w:t>
      </w:r>
    </w:p>
    <w:p w14:paraId="2CE94685" w14:textId="2CF89C27" w:rsidR="002F21FE" w:rsidRPr="00411CFF" w:rsidRDefault="002F21FE" w:rsidP="0051131B">
      <w:pPr>
        <w:spacing w:after="0"/>
        <w:ind w:firstLine="709"/>
        <w:contextualSpacing/>
        <w:jc w:val="both"/>
        <w:rPr>
          <w:rFonts w:ascii="Times New Roman" w:hAnsi="Times New Roman"/>
          <w:sz w:val="24"/>
          <w:szCs w:val="24"/>
        </w:rPr>
      </w:pPr>
      <w:r w:rsidRPr="00411CFF">
        <w:rPr>
          <w:rFonts w:ascii="Times New Roman" w:hAnsi="Times New Roman"/>
          <w:sz w:val="24"/>
        </w:rPr>
        <w:t>The HSE Academic Writing Cent</w:t>
      </w:r>
      <w:r w:rsidR="00A23E5D">
        <w:rPr>
          <w:rFonts w:ascii="Times New Roman" w:hAnsi="Times New Roman"/>
          <w:sz w:val="24"/>
        </w:rPr>
        <w:t>re</w:t>
      </w:r>
      <w:r w:rsidRPr="00411CFF">
        <w:rPr>
          <w:rFonts w:ascii="Times New Roman" w:hAnsi="Times New Roman"/>
          <w:sz w:val="24"/>
        </w:rPr>
        <w:t xml:space="preserve">, where native English speakers are employed, helps faculty members and researchers to </w:t>
      </w:r>
      <w:r w:rsidR="000D4C07" w:rsidRPr="00411CFF">
        <w:rPr>
          <w:rFonts w:ascii="Times New Roman" w:hAnsi="Times New Roman"/>
          <w:sz w:val="24"/>
        </w:rPr>
        <w:t xml:space="preserve">enhance </w:t>
      </w:r>
      <w:r w:rsidRPr="00411CFF">
        <w:rPr>
          <w:rFonts w:ascii="Times New Roman" w:hAnsi="Times New Roman"/>
          <w:sz w:val="24"/>
        </w:rPr>
        <w:t xml:space="preserve">their </w:t>
      </w:r>
      <w:r w:rsidR="004224AF">
        <w:rPr>
          <w:rFonts w:ascii="Times New Roman" w:hAnsi="Times New Roman"/>
          <w:sz w:val="24"/>
        </w:rPr>
        <w:t xml:space="preserve">English </w:t>
      </w:r>
      <w:r w:rsidRPr="00411CFF">
        <w:rPr>
          <w:rFonts w:ascii="Times New Roman" w:hAnsi="Times New Roman"/>
          <w:sz w:val="24"/>
        </w:rPr>
        <w:t xml:space="preserve">writing skills </w:t>
      </w:r>
      <w:r w:rsidR="00331338" w:rsidRPr="00411CFF">
        <w:rPr>
          <w:rFonts w:ascii="Times New Roman" w:hAnsi="Times New Roman"/>
          <w:sz w:val="24"/>
        </w:rPr>
        <w:t>for</w:t>
      </w:r>
      <w:r w:rsidRPr="00411CFF">
        <w:rPr>
          <w:rFonts w:ascii="Times New Roman" w:hAnsi="Times New Roman"/>
          <w:sz w:val="24"/>
        </w:rPr>
        <w:t xml:space="preserve"> </w:t>
      </w:r>
      <w:r w:rsidR="004224AF" w:rsidRPr="00411CFF">
        <w:rPr>
          <w:rFonts w:ascii="Times New Roman" w:hAnsi="Times New Roman"/>
          <w:sz w:val="24"/>
        </w:rPr>
        <w:t xml:space="preserve">academic </w:t>
      </w:r>
      <w:r w:rsidR="00924B67" w:rsidRPr="00411CFF">
        <w:rPr>
          <w:rFonts w:ascii="Times New Roman" w:hAnsi="Times New Roman"/>
          <w:sz w:val="24"/>
        </w:rPr>
        <w:t>texts</w:t>
      </w:r>
      <w:r w:rsidR="00331338" w:rsidRPr="00411CFF">
        <w:rPr>
          <w:rFonts w:ascii="Times New Roman" w:hAnsi="Times New Roman"/>
          <w:sz w:val="24"/>
        </w:rPr>
        <w:t xml:space="preserve">. </w:t>
      </w:r>
      <w:r w:rsidR="004224AF">
        <w:rPr>
          <w:rFonts w:ascii="Times New Roman" w:hAnsi="Times New Roman"/>
          <w:sz w:val="24"/>
        </w:rPr>
        <w:t>In 2016 alone,</w:t>
      </w:r>
      <w:r w:rsidR="009F25B7" w:rsidRPr="0049786C">
        <w:rPr>
          <w:rFonts w:ascii="Times New Roman" w:hAnsi="Times New Roman"/>
          <w:sz w:val="24"/>
          <w:lang w:val="en-US"/>
        </w:rPr>
        <w:t xml:space="preserve"> </w:t>
      </w:r>
      <w:r w:rsidRPr="00411CFF">
        <w:rPr>
          <w:rFonts w:ascii="Times New Roman" w:hAnsi="Times New Roman"/>
          <w:sz w:val="24"/>
        </w:rPr>
        <w:t xml:space="preserve">445 faculty members </w:t>
      </w:r>
      <w:r w:rsidR="004224AF">
        <w:rPr>
          <w:rFonts w:ascii="Times New Roman" w:hAnsi="Times New Roman"/>
          <w:sz w:val="24"/>
        </w:rPr>
        <w:t>used the Centr</w:t>
      </w:r>
      <w:r w:rsidR="00A23E5D">
        <w:rPr>
          <w:rFonts w:ascii="Times New Roman" w:hAnsi="Times New Roman"/>
          <w:sz w:val="24"/>
        </w:rPr>
        <w:t>e</w:t>
      </w:r>
      <w:r w:rsidR="004224AF">
        <w:rPr>
          <w:rFonts w:ascii="Times New Roman" w:hAnsi="Times New Roman"/>
          <w:sz w:val="24"/>
        </w:rPr>
        <w:t xml:space="preserve">’s services. </w:t>
      </w:r>
    </w:p>
    <w:p w14:paraId="0C43224E" w14:textId="7FA83777" w:rsidR="002F21FE" w:rsidRPr="00411CFF" w:rsidRDefault="002F21FE" w:rsidP="0051131B">
      <w:pPr>
        <w:spacing w:after="0"/>
        <w:ind w:firstLine="709"/>
        <w:contextualSpacing/>
        <w:jc w:val="both"/>
        <w:rPr>
          <w:rFonts w:ascii="Times New Roman" w:hAnsi="Times New Roman"/>
          <w:sz w:val="24"/>
          <w:szCs w:val="24"/>
        </w:rPr>
      </w:pPr>
      <w:r w:rsidRPr="00411CFF">
        <w:rPr>
          <w:rFonts w:ascii="Times New Roman" w:hAnsi="Times New Roman"/>
          <w:sz w:val="24"/>
        </w:rPr>
        <w:t xml:space="preserve">HSE has implemented 305 </w:t>
      </w:r>
      <w:r w:rsidR="004224AF">
        <w:rPr>
          <w:rFonts w:ascii="Times New Roman" w:hAnsi="Times New Roman"/>
          <w:sz w:val="24"/>
        </w:rPr>
        <w:t xml:space="preserve">applied research </w:t>
      </w:r>
      <w:r w:rsidRPr="00411CFF">
        <w:rPr>
          <w:rFonts w:ascii="Times New Roman" w:hAnsi="Times New Roman"/>
          <w:sz w:val="24"/>
        </w:rPr>
        <w:t xml:space="preserve">projects </w:t>
      </w:r>
      <w:r w:rsidR="004C3969" w:rsidRPr="00411CFF">
        <w:rPr>
          <w:rFonts w:ascii="Times New Roman" w:hAnsi="Times New Roman"/>
          <w:sz w:val="24"/>
        </w:rPr>
        <w:t xml:space="preserve">for 193 clients </w:t>
      </w:r>
      <w:r w:rsidR="007C152F" w:rsidRPr="00411CFF">
        <w:rPr>
          <w:rFonts w:ascii="Times New Roman" w:hAnsi="Times New Roman"/>
          <w:sz w:val="24"/>
        </w:rPr>
        <w:t>at a cost of more than</w:t>
      </w:r>
      <w:r w:rsidRPr="00411CFF">
        <w:rPr>
          <w:rFonts w:ascii="Times New Roman" w:hAnsi="Times New Roman"/>
          <w:sz w:val="24"/>
        </w:rPr>
        <w:t xml:space="preserve"> 1.46 billion roubles</w:t>
      </w:r>
      <w:r w:rsidR="007C152F" w:rsidRPr="00411CFF">
        <w:rPr>
          <w:rFonts w:ascii="Times New Roman" w:hAnsi="Times New Roman"/>
          <w:sz w:val="24"/>
        </w:rPr>
        <w:t>.</w:t>
      </w:r>
      <w:r w:rsidRPr="00411CFF">
        <w:rPr>
          <w:rFonts w:ascii="Times New Roman" w:hAnsi="Times New Roman"/>
          <w:sz w:val="24"/>
        </w:rPr>
        <w:t xml:space="preserve"> In 2016, HSE continued </w:t>
      </w:r>
      <w:r w:rsidR="00A42F6A" w:rsidRPr="00411CFF">
        <w:rPr>
          <w:rFonts w:ascii="Times New Roman" w:hAnsi="Times New Roman"/>
          <w:sz w:val="24"/>
        </w:rPr>
        <w:t>partnerships</w:t>
      </w:r>
      <w:r w:rsidRPr="00411CFF">
        <w:rPr>
          <w:rFonts w:ascii="Times New Roman" w:hAnsi="Times New Roman"/>
          <w:sz w:val="24"/>
        </w:rPr>
        <w:t xml:space="preserve"> with </w:t>
      </w:r>
      <w:r w:rsidR="00531F7E" w:rsidRPr="00411CFF">
        <w:rPr>
          <w:rFonts w:ascii="Times New Roman" w:hAnsi="Times New Roman"/>
          <w:sz w:val="24"/>
        </w:rPr>
        <w:t>key global organizations,</w:t>
      </w:r>
      <w:r w:rsidRPr="00411CFF">
        <w:rPr>
          <w:rFonts w:ascii="Times New Roman" w:hAnsi="Times New Roman"/>
          <w:sz w:val="24"/>
        </w:rPr>
        <w:t xml:space="preserve"> including the Eurasian Economic Commission, </w:t>
      </w:r>
      <w:r w:rsidR="00531F7E" w:rsidRPr="00411CFF">
        <w:rPr>
          <w:rFonts w:ascii="Times New Roman" w:hAnsi="Times New Roman"/>
          <w:sz w:val="24"/>
        </w:rPr>
        <w:t xml:space="preserve">the </w:t>
      </w:r>
      <w:r w:rsidRPr="00411CFF">
        <w:rPr>
          <w:rFonts w:ascii="Times New Roman" w:hAnsi="Times New Roman"/>
          <w:sz w:val="24"/>
        </w:rPr>
        <w:t>German Aerospace Center</w:t>
      </w:r>
      <w:r w:rsidR="009A3CCB" w:rsidRPr="00411CFF">
        <w:rPr>
          <w:rFonts w:ascii="Times New Roman" w:hAnsi="Times New Roman"/>
          <w:sz w:val="24"/>
        </w:rPr>
        <w:t>, the</w:t>
      </w:r>
      <w:r w:rsidR="00531F7E" w:rsidRPr="00411CFF">
        <w:rPr>
          <w:rFonts w:ascii="Times New Roman" w:hAnsi="Times New Roman"/>
          <w:sz w:val="24"/>
        </w:rPr>
        <w:t xml:space="preserve"> </w:t>
      </w:r>
      <w:r w:rsidRPr="00411CFF">
        <w:rPr>
          <w:rFonts w:ascii="Times New Roman" w:hAnsi="Times New Roman"/>
          <w:sz w:val="24"/>
        </w:rPr>
        <w:t xml:space="preserve">World Health Organization and </w:t>
      </w:r>
      <w:r w:rsidR="00531F7E" w:rsidRPr="00411CFF">
        <w:rPr>
          <w:rFonts w:ascii="Times New Roman" w:hAnsi="Times New Roman"/>
          <w:sz w:val="24"/>
        </w:rPr>
        <w:t xml:space="preserve">the </w:t>
      </w:r>
      <w:r w:rsidRPr="00411CFF">
        <w:rPr>
          <w:rFonts w:ascii="Times New Roman" w:hAnsi="Times New Roman"/>
          <w:sz w:val="24"/>
        </w:rPr>
        <w:t xml:space="preserve">Eurasian Development Bank. </w:t>
      </w:r>
    </w:p>
    <w:p w14:paraId="0687B07A" w14:textId="78CECA01" w:rsidR="002F21FE" w:rsidRPr="00411CFF" w:rsidRDefault="00EE7386" w:rsidP="0051131B">
      <w:pPr>
        <w:spacing w:after="0"/>
        <w:ind w:firstLine="709"/>
        <w:contextualSpacing/>
        <w:jc w:val="both"/>
        <w:rPr>
          <w:rFonts w:ascii="Times New Roman" w:hAnsi="Times New Roman"/>
          <w:sz w:val="24"/>
          <w:szCs w:val="24"/>
        </w:rPr>
      </w:pPr>
      <w:r w:rsidRPr="00411CFF">
        <w:rPr>
          <w:rFonts w:ascii="Times New Roman" w:hAnsi="Times New Roman"/>
          <w:sz w:val="24"/>
        </w:rPr>
        <w:t xml:space="preserve">HSE </w:t>
      </w:r>
      <w:r w:rsidR="004C3969">
        <w:rPr>
          <w:rFonts w:ascii="Times New Roman" w:hAnsi="Times New Roman"/>
          <w:sz w:val="24"/>
        </w:rPr>
        <w:t xml:space="preserve">also </w:t>
      </w:r>
      <w:r w:rsidRPr="00411CFF">
        <w:rPr>
          <w:rFonts w:ascii="Times New Roman" w:hAnsi="Times New Roman"/>
          <w:sz w:val="24"/>
        </w:rPr>
        <w:t>runs a special program</w:t>
      </w:r>
      <w:r w:rsidR="00531F7E" w:rsidRPr="00411CFF">
        <w:rPr>
          <w:rFonts w:ascii="Times New Roman" w:hAnsi="Times New Roman"/>
          <w:sz w:val="24"/>
        </w:rPr>
        <w:t xml:space="preserve">me, to </w:t>
      </w:r>
      <w:r w:rsidR="004C3969">
        <w:rPr>
          <w:rFonts w:ascii="Times New Roman" w:hAnsi="Times New Roman"/>
          <w:sz w:val="24"/>
        </w:rPr>
        <w:t xml:space="preserve">promote and support </w:t>
      </w:r>
      <w:r w:rsidRPr="00411CFF">
        <w:rPr>
          <w:rFonts w:ascii="Times New Roman" w:hAnsi="Times New Roman"/>
          <w:sz w:val="24"/>
        </w:rPr>
        <w:t xml:space="preserve">international research partnerships, </w:t>
      </w:r>
      <w:r w:rsidR="00531F7E" w:rsidRPr="00411CFF">
        <w:rPr>
          <w:rFonts w:ascii="Times New Roman" w:hAnsi="Times New Roman"/>
          <w:sz w:val="24"/>
        </w:rPr>
        <w:t xml:space="preserve">by </w:t>
      </w:r>
      <w:r w:rsidRPr="00411CFF">
        <w:rPr>
          <w:rFonts w:ascii="Times New Roman" w:hAnsi="Times New Roman"/>
          <w:sz w:val="24"/>
        </w:rPr>
        <w:t xml:space="preserve">providing funding to cover HSE researchers’ participation </w:t>
      </w:r>
      <w:r w:rsidR="00531F7E" w:rsidRPr="00411CFF">
        <w:rPr>
          <w:rFonts w:ascii="Times New Roman" w:hAnsi="Times New Roman"/>
          <w:sz w:val="24"/>
        </w:rPr>
        <w:t>in</w:t>
      </w:r>
      <w:r w:rsidRPr="00411CFF">
        <w:rPr>
          <w:rFonts w:ascii="Times New Roman" w:hAnsi="Times New Roman"/>
          <w:sz w:val="24"/>
        </w:rPr>
        <w:t xml:space="preserve"> OECD commissions, as well as other events and activities related to joint projects with international partners</w:t>
      </w:r>
      <w:r w:rsidR="00531F7E" w:rsidRPr="00411CFF">
        <w:rPr>
          <w:rFonts w:ascii="Times New Roman" w:hAnsi="Times New Roman"/>
          <w:sz w:val="24"/>
        </w:rPr>
        <w:t>. For instance</w:t>
      </w:r>
      <w:r w:rsidR="002966B7" w:rsidRPr="00411CFF">
        <w:rPr>
          <w:rFonts w:ascii="Times New Roman" w:hAnsi="Times New Roman"/>
          <w:sz w:val="24"/>
        </w:rPr>
        <w:t>, 50</w:t>
      </w:r>
      <w:r w:rsidRPr="00411CFF">
        <w:rPr>
          <w:rFonts w:ascii="Times New Roman" w:hAnsi="Times New Roman"/>
          <w:color w:val="000000"/>
          <w:spacing w:val="4"/>
          <w:sz w:val="24"/>
        </w:rPr>
        <w:t xml:space="preserve"> </w:t>
      </w:r>
      <w:r w:rsidR="00765060">
        <w:rPr>
          <w:rFonts w:ascii="Times New Roman" w:hAnsi="Times New Roman"/>
          <w:color w:val="000000"/>
          <w:spacing w:val="4"/>
          <w:sz w:val="24"/>
        </w:rPr>
        <w:t>researchers and faculty</w:t>
      </w:r>
      <w:r w:rsidRPr="00411CFF">
        <w:rPr>
          <w:rFonts w:ascii="Times New Roman" w:hAnsi="Times New Roman"/>
          <w:color w:val="000000"/>
          <w:spacing w:val="4"/>
          <w:sz w:val="24"/>
        </w:rPr>
        <w:t xml:space="preserve"> </w:t>
      </w:r>
      <w:r w:rsidR="00531F7E" w:rsidRPr="00411CFF">
        <w:rPr>
          <w:rFonts w:ascii="Times New Roman" w:hAnsi="Times New Roman"/>
          <w:color w:val="000000"/>
          <w:spacing w:val="4"/>
          <w:sz w:val="24"/>
        </w:rPr>
        <w:t>have taken</w:t>
      </w:r>
      <w:r w:rsidRPr="00411CFF">
        <w:rPr>
          <w:rFonts w:ascii="Times New Roman" w:hAnsi="Times New Roman"/>
          <w:color w:val="000000"/>
          <w:spacing w:val="4"/>
          <w:sz w:val="24"/>
        </w:rPr>
        <w:t xml:space="preserve"> </w:t>
      </w:r>
      <w:r w:rsidR="00FD46AD" w:rsidRPr="00411CFF">
        <w:rPr>
          <w:rFonts w:ascii="Times New Roman" w:hAnsi="Times New Roman"/>
          <w:color w:val="000000"/>
          <w:spacing w:val="4"/>
          <w:sz w:val="24"/>
        </w:rPr>
        <w:t xml:space="preserve">part </w:t>
      </w:r>
      <w:r w:rsidRPr="00411CFF">
        <w:rPr>
          <w:rFonts w:ascii="Times New Roman" w:hAnsi="Times New Roman"/>
          <w:color w:val="000000"/>
          <w:spacing w:val="4"/>
          <w:sz w:val="24"/>
        </w:rPr>
        <w:t xml:space="preserve">in events held by international </w:t>
      </w:r>
      <w:r w:rsidR="00531F7E" w:rsidRPr="00411CFF">
        <w:rPr>
          <w:rFonts w:ascii="Times New Roman" w:hAnsi="Times New Roman"/>
          <w:color w:val="000000"/>
          <w:spacing w:val="4"/>
          <w:sz w:val="24"/>
        </w:rPr>
        <w:t>organizations</w:t>
      </w:r>
      <w:r w:rsidRPr="00411CFF">
        <w:rPr>
          <w:rFonts w:ascii="Times New Roman" w:hAnsi="Times New Roman"/>
          <w:color w:val="000000"/>
          <w:spacing w:val="4"/>
          <w:sz w:val="24"/>
        </w:rPr>
        <w:t xml:space="preserve">, associations and leading </w:t>
      </w:r>
      <w:r w:rsidR="00531F7E" w:rsidRPr="00411CFF">
        <w:rPr>
          <w:rFonts w:ascii="Times New Roman" w:hAnsi="Times New Roman"/>
          <w:color w:val="000000"/>
          <w:spacing w:val="4"/>
          <w:sz w:val="24"/>
        </w:rPr>
        <w:t xml:space="preserve">international </w:t>
      </w:r>
      <w:r w:rsidRPr="00411CFF">
        <w:rPr>
          <w:rFonts w:ascii="Times New Roman" w:hAnsi="Times New Roman"/>
          <w:color w:val="000000"/>
          <w:spacing w:val="4"/>
          <w:sz w:val="24"/>
        </w:rPr>
        <w:t>universities.</w:t>
      </w:r>
      <w:r w:rsidRPr="00411CFF">
        <w:rPr>
          <w:rFonts w:ascii="Times New Roman" w:hAnsi="Times New Roman"/>
          <w:sz w:val="24"/>
        </w:rPr>
        <w:t xml:space="preserve"> </w:t>
      </w:r>
    </w:p>
    <w:p w14:paraId="1E89FD42" w14:textId="172EC242" w:rsidR="002F21FE" w:rsidRPr="00411CFF" w:rsidRDefault="00765060" w:rsidP="0051131B">
      <w:pPr>
        <w:spacing w:after="0"/>
        <w:ind w:firstLine="709"/>
        <w:contextualSpacing/>
        <w:jc w:val="both"/>
        <w:rPr>
          <w:rFonts w:ascii="Times New Roman" w:hAnsi="Times New Roman"/>
          <w:sz w:val="24"/>
          <w:szCs w:val="24"/>
        </w:rPr>
      </w:pPr>
      <w:r>
        <w:rPr>
          <w:rFonts w:ascii="Times New Roman" w:hAnsi="Times New Roman"/>
          <w:sz w:val="24"/>
        </w:rPr>
        <w:t xml:space="preserve">HSE closely monitors new and continuing </w:t>
      </w:r>
      <w:r w:rsidR="002F21FE" w:rsidRPr="00411CFF">
        <w:rPr>
          <w:rFonts w:ascii="Times New Roman" w:hAnsi="Times New Roman"/>
          <w:sz w:val="24"/>
        </w:rPr>
        <w:t>applied research projects and fund</w:t>
      </w:r>
      <w:r w:rsidR="00D808A9" w:rsidRPr="00411CFF">
        <w:rPr>
          <w:rFonts w:ascii="Times New Roman" w:hAnsi="Times New Roman"/>
          <w:sz w:val="24"/>
        </w:rPr>
        <w:t>ing</w:t>
      </w:r>
      <w:r w:rsidR="002F21FE" w:rsidRPr="00411CFF">
        <w:rPr>
          <w:rFonts w:ascii="Times New Roman" w:hAnsi="Times New Roman"/>
          <w:sz w:val="24"/>
        </w:rPr>
        <w:t xml:space="preserve"> </w:t>
      </w:r>
      <w:r>
        <w:rPr>
          <w:rFonts w:ascii="Times New Roman" w:hAnsi="Times New Roman"/>
          <w:sz w:val="24"/>
        </w:rPr>
        <w:t>opportunities</w:t>
      </w:r>
      <w:r w:rsidR="0093606C" w:rsidRPr="00411CFF">
        <w:rPr>
          <w:rFonts w:ascii="Times New Roman" w:hAnsi="Times New Roman"/>
          <w:sz w:val="24"/>
        </w:rPr>
        <w:t>. In</w:t>
      </w:r>
      <w:r w:rsidR="002F21FE" w:rsidRPr="00411CFF">
        <w:rPr>
          <w:rFonts w:ascii="Times New Roman" w:hAnsi="Times New Roman"/>
          <w:sz w:val="24"/>
        </w:rPr>
        <w:t xml:space="preserve"> 2016, HSE research units received information on 8,096 </w:t>
      </w:r>
      <w:r w:rsidR="00E853F7">
        <w:rPr>
          <w:rFonts w:ascii="Times New Roman" w:hAnsi="Times New Roman"/>
          <w:sz w:val="24"/>
        </w:rPr>
        <w:t>requests for proposals (RFPs)</w:t>
      </w:r>
      <w:r w:rsidR="002F21FE" w:rsidRPr="00411CFF">
        <w:rPr>
          <w:rFonts w:ascii="Times New Roman" w:hAnsi="Times New Roman"/>
          <w:sz w:val="24"/>
        </w:rPr>
        <w:t xml:space="preserve"> and submitted 316 applications. </w:t>
      </w:r>
      <w:r w:rsidR="0093606C" w:rsidRPr="00411CFF">
        <w:rPr>
          <w:rFonts w:ascii="Times New Roman" w:hAnsi="Times New Roman"/>
          <w:sz w:val="24"/>
        </w:rPr>
        <w:t>A total of 94</w:t>
      </w:r>
      <w:r w:rsidR="002F21FE" w:rsidRPr="00411CFF">
        <w:rPr>
          <w:rFonts w:ascii="Times New Roman" w:hAnsi="Times New Roman"/>
          <w:sz w:val="24"/>
        </w:rPr>
        <w:t xml:space="preserve"> applications from HSE were successful, </w:t>
      </w:r>
      <w:r w:rsidR="00211FBA" w:rsidRPr="00411CFF">
        <w:rPr>
          <w:rFonts w:ascii="Times New Roman" w:hAnsi="Times New Roman"/>
          <w:sz w:val="24"/>
        </w:rPr>
        <w:t>while the</w:t>
      </w:r>
      <w:r w:rsidR="00E853F7">
        <w:rPr>
          <w:rFonts w:ascii="Times New Roman" w:hAnsi="Times New Roman"/>
          <w:sz w:val="24"/>
        </w:rPr>
        <w:t xml:space="preserve"> school is</w:t>
      </w:r>
      <w:r w:rsidR="00211FBA" w:rsidRPr="00411CFF">
        <w:rPr>
          <w:rFonts w:ascii="Times New Roman" w:hAnsi="Times New Roman"/>
          <w:sz w:val="24"/>
        </w:rPr>
        <w:t xml:space="preserve"> </w:t>
      </w:r>
      <w:r>
        <w:rPr>
          <w:rFonts w:ascii="Times New Roman" w:hAnsi="Times New Roman"/>
          <w:sz w:val="24"/>
        </w:rPr>
        <w:t xml:space="preserve">still waiting on </w:t>
      </w:r>
      <w:r w:rsidR="002F21FE" w:rsidRPr="00411CFF">
        <w:rPr>
          <w:rFonts w:ascii="Times New Roman" w:hAnsi="Times New Roman"/>
          <w:sz w:val="24"/>
        </w:rPr>
        <w:t xml:space="preserve">final results of </w:t>
      </w:r>
      <w:r w:rsidR="00E853F7">
        <w:rPr>
          <w:rFonts w:ascii="Times New Roman" w:hAnsi="Times New Roman"/>
          <w:sz w:val="24"/>
        </w:rPr>
        <w:t>some</w:t>
      </w:r>
      <w:r w:rsidR="00E853F7" w:rsidRPr="00411CFF">
        <w:rPr>
          <w:rFonts w:ascii="Times New Roman" w:hAnsi="Times New Roman"/>
          <w:sz w:val="24"/>
        </w:rPr>
        <w:t xml:space="preserve"> </w:t>
      </w:r>
      <w:r w:rsidR="002F21FE" w:rsidRPr="00411CFF">
        <w:rPr>
          <w:rFonts w:ascii="Times New Roman" w:hAnsi="Times New Roman"/>
          <w:sz w:val="24"/>
        </w:rPr>
        <w:t xml:space="preserve">competitions. </w:t>
      </w:r>
    </w:p>
    <w:p w14:paraId="2EC584A6" w14:textId="4189F92C" w:rsidR="002F21FE" w:rsidRPr="006256D0" w:rsidRDefault="00815640" w:rsidP="0051131B">
      <w:pPr>
        <w:spacing w:after="0"/>
        <w:ind w:firstLine="709"/>
        <w:contextualSpacing/>
        <w:jc w:val="both"/>
        <w:rPr>
          <w:rFonts w:ascii="Times New Roman" w:hAnsi="Times New Roman"/>
          <w:sz w:val="24"/>
          <w:szCs w:val="24"/>
        </w:rPr>
      </w:pPr>
      <w:r w:rsidRPr="00411CFF">
        <w:rPr>
          <w:rFonts w:ascii="Times New Roman" w:hAnsi="Times New Roman"/>
          <w:sz w:val="24"/>
        </w:rPr>
        <w:t xml:space="preserve">The </w:t>
      </w:r>
      <w:r w:rsidR="002F21FE" w:rsidRPr="00411CFF">
        <w:rPr>
          <w:rFonts w:ascii="Times New Roman" w:hAnsi="Times New Roman"/>
          <w:sz w:val="24"/>
        </w:rPr>
        <w:t xml:space="preserve">innovation base </w:t>
      </w:r>
      <w:r w:rsidRPr="00411CFF">
        <w:rPr>
          <w:rFonts w:ascii="Times New Roman" w:hAnsi="Times New Roman"/>
          <w:sz w:val="24"/>
        </w:rPr>
        <w:t xml:space="preserve">at HSE </w:t>
      </w:r>
      <w:r w:rsidR="002F21FE" w:rsidRPr="00411CFF">
        <w:rPr>
          <w:rFonts w:ascii="Times New Roman" w:hAnsi="Times New Roman"/>
          <w:sz w:val="24"/>
        </w:rPr>
        <w:t xml:space="preserve">is growing through various entrepreneurial </w:t>
      </w:r>
      <w:r w:rsidR="004428D8" w:rsidRPr="00411CFF">
        <w:rPr>
          <w:rFonts w:ascii="Times New Roman" w:hAnsi="Times New Roman"/>
          <w:sz w:val="24"/>
        </w:rPr>
        <w:t>competitions</w:t>
      </w:r>
      <w:r w:rsidRPr="00411CFF">
        <w:rPr>
          <w:rFonts w:ascii="Times New Roman" w:hAnsi="Times New Roman"/>
          <w:sz w:val="24"/>
        </w:rPr>
        <w:t>,</w:t>
      </w:r>
      <w:r w:rsidR="002F21FE" w:rsidRPr="00411CFF">
        <w:rPr>
          <w:rFonts w:ascii="Times New Roman" w:hAnsi="Times New Roman"/>
          <w:sz w:val="24"/>
        </w:rPr>
        <w:t xml:space="preserve"> which bring together young entrepreneurs</w:t>
      </w:r>
      <w:r w:rsidRPr="00411CFF">
        <w:rPr>
          <w:rFonts w:ascii="Times New Roman" w:hAnsi="Times New Roman"/>
          <w:sz w:val="24"/>
        </w:rPr>
        <w:t>,</w:t>
      </w:r>
      <w:r w:rsidR="002F21FE" w:rsidRPr="00411CFF">
        <w:rPr>
          <w:rFonts w:ascii="Times New Roman" w:hAnsi="Times New Roman"/>
          <w:sz w:val="24"/>
        </w:rPr>
        <w:t xml:space="preserve"> innovators</w:t>
      </w:r>
      <w:r w:rsidRPr="00411CFF">
        <w:rPr>
          <w:rFonts w:ascii="Times New Roman" w:hAnsi="Times New Roman"/>
          <w:sz w:val="24"/>
        </w:rPr>
        <w:t xml:space="preserve">, </w:t>
      </w:r>
      <w:r w:rsidR="002F21FE" w:rsidRPr="00411CFF">
        <w:rPr>
          <w:rFonts w:ascii="Times New Roman" w:hAnsi="Times New Roman"/>
          <w:sz w:val="24"/>
        </w:rPr>
        <w:t>venture specialists and investors. In 2016</w:t>
      </w:r>
      <w:r w:rsidRPr="00411CFF">
        <w:rPr>
          <w:rFonts w:ascii="Times New Roman" w:hAnsi="Times New Roman"/>
          <w:sz w:val="24"/>
        </w:rPr>
        <w:t>,</w:t>
      </w:r>
      <w:r w:rsidR="002F21FE" w:rsidRPr="00411CFF">
        <w:rPr>
          <w:rFonts w:ascii="Times New Roman" w:hAnsi="Times New Roman"/>
          <w:sz w:val="24"/>
        </w:rPr>
        <w:t xml:space="preserve"> </w:t>
      </w:r>
      <w:r w:rsidRPr="00411CFF">
        <w:rPr>
          <w:rFonts w:ascii="Times New Roman" w:hAnsi="Times New Roman"/>
          <w:sz w:val="24"/>
        </w:rPr>
        <w:t>HSE</w:t>
      </w:r>
      <w:r w:rsidR="002F21FE" w:rsidRPr="00411CFF">
        <w:rPr>
          <w:rFonts w:ascii="Times New Roman" w:hAnsi="Times New Roman"/>
          <w:sz w:val="24"/>
        </w:rPr>
        <w:t xml:space="preserve"> provided support to 1</w:t>
      </w:r>
      <w:r w:rsidR="001A7794" w:rsidRPr="00411CFF">
        <w:rPr>
          <w:rFonts w:ascii="Times New Roman" w:hAnsi="Times New Roman"/>
          <w:sz w:val="24"/>
        </w:rPr>
        <w:t>,</w:t>
      </w:r>
      <w:r w:rsidR="002F21FE" w:rsidRPr="00411CFF">
        <w:rPr>
          <w:rFonts w:ascii="Times New Roman" w:hAnsi="Times New Roman"/>
          <w:sz w:val="24"/>
        </w:rPr>
        <w:t>279 innovative projects</w:t>
      </w:r>
      <w:r w:rsidR="000D0DD9">
        <w:rPr>
          <w:rFonts w:ascii="Times New Roman" w:hAnsi="Times New Roman"/>
          <w:sz w:val="24"/>
        </w:rPr>
        <w:t xml:space="preserve">, </w:t>
      </w:r>
      <w:r w:rsidR="0082373C">
        <w:rPr>
          <w:rFonts w:ascii="Times New Roman" w:hAnsi="Times New Roman"/>
          <w:sz w:val="24"/>
        </w:rPr>
        <w:t>compared to</w:t>
      </w:r>
      <w:r w:rsidR="0082373C" w:rsidRPr="00411CFF">
        <w:rPr>
          <w:rFonts w:ascii="Times New Roman" w:hAnsi="Times New Roman"/>
          <w:sz w:val="24"/>
        </w:rPr>
        <w:t xml:space="preserve"> </w:t>
      </w:r>
      <w:r w:rsidRPr="00411CFF">
        <w:rPr>
          <w:rFonts w:ascii="Times New Roman" w:hAnsi="Times New Roman"/>
          <w:sz w:val="24"/>
        </w:rPr>
        <w:t>250 in 2015</w:t>
      </w:r>
      <w:r w:rsidR="002F21FE" w:rsidRPr="00411CFF">
        <w:rPr>
          <w:rFonts w:ascii="Times New Roman" w:hAnsi="Times New Roman"/>
          <w:sz w:val="24"/>
        </w:rPr>
        <w:t>.</w:t>
      </w:r>
      <w:r w:rsidR="002F21FE" w:rsidRPr="006C06DC">
        <w:rPr>
          <w:rFonts w:ascii="Times New Roman" w:hAnsi="Times New Roman"/>
          <w:sz w:val="24"/>
        </w:rPr>
        <w:t xml:space="preserve"> </w:t>
      </w:r>
    </w:p>
    <w:p w14:paraId="6A7EAC91" w14:textId="77777777" w:rsidR="00A81AB2" w:rsidRPr="00D301E4" w:rsidRDefault="00A81AB2" w:rsidP="0051131B">
      <w:pPr>
        <w:spacing w:after="0"/>
        <w:ind w:firstLine="709"/>
        <w:jc w:val="both"/>
        <w:rPr>
          <w:rFonts w:ascii="Times New Roman" w:hAnsi="Times New Roman"/>
          <w:b/>
          <w:sz w:val="24"/>
          <w:szCs w:val="24"/>
        </w:rPr>
      </w:pPr>
    </w:p>
    <w:p w14:paraId="222E84C9" w14:textId="77777777" w:rsidR="00922953" w:rsidRDefault="00922953" w:rsidP="0051131B">
      <w:pPr>
        <w:spacing w:after="0"/>
        <w:ind w:firstLine="709"/>
        <w:jc w:val="both"/>
        <w:rPr>
          <w:rFonts w:ascii="Times New Roman" w:hAnsi="Times New Roman"/>
          <w:b/>
          <w:sz w:val="24"/>
          <w:lang w:val="ru-RU"/>
        </w:rPr>
      </w:pPr>
    </w:p>
    <w:p w14:paraId="6DA8CE96" w14:textId="77777777" w:rsidR="00922953" w:rsidRDefault="00922953" w:rsidP="0051131B">
      <w:pPr>
        <w:spacing w:after="0"/>
        <w:ind w:firstLine="709"/>
        <w:jc w:val="both"/>
        <w:rPr>
          <w:rFonts w:ascii="Times New Roman" w:hAnsi="Times New Roman"/>
          <w:b/>
          <w:sz w:val="24"/>
          <w:lang w:val="ru-RU"/>
        </w:rPr>
      </w:pPr>
    </w:p>
    <w:p w14:paraId="14B0E939" w14:textId="77777777" w:rsidR="00F40E64" w:rsidRPr="00411CFF" w:rsidRDefault="00F40E64" w:rsidP="0051131B">
      <w:pPr>
        <w:spacing w:after="0"/>
        <w:ind w:firstLine="709"/>
        <w:jc w:val="both"/>
        <w:rPr>
          <w:rFonts w:ascii="Times New Roman" w:hAnsi="Times New Roman"/>
          <w:b/>
          <w:sz w:val="24"/>
          <w:szCs w:val="24"/>
        </w:rPr>
      </w:pPr>
      <w:r w:rsidRPr="00411CFF">
        <w:rPr>
          <w:rFonts w:ascii="Times New Roman" w:hAnsi="Times New Roman"/>
          <w:b/>
          <w:sz w:val="24"/>
        </w:rPr>
        <w:lastRenderedPageBreak/>
        <w:t>Strategic Initiative No. 2: Creating and Promoting Globally</w:t>
      </w:r>
      <w:r w:rsidR="00D93855">
        <w:rPr>
          <w:rFonts w:ascii="Times New Roman" w:hAnsi="Times New Roman"/>
          <w:b/>
          <w:sz w:val="24"/>
        </w:rPr>
        <w:t xml:space="preserve"> Oriented</w:t>
      </w:r>
      <w:r w:rsidRPr="00411CFF">
        <w:rPr>
          <w:rFonts w:ascii="Times New Roman" w:hAnsi="Times New Roman"/>
          <w:b/>
          <w:sz w:val="24"/>
        </w:rPr>
        <w:t xml:space="preserve"> Educational Products</w:t>
      </w:r>
    </w:p>
    <w:p w14:paraId="61EFF610" w14:textId="726C2962" w:rsidR="00F40E64" w:rsidRPr="00411CFF" w:rsidRDefault="00F40E64"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 xml:space="preserve">The number of </w:t>
      </w:r>
      <w:r w:rsidR="00332017" w:rsidRPr="00411CFF">
        <w:rPr>
          <w:rFonts w:ascii="Times New Roman" w:hAnsi="Times New Roman"/>
          <w:color w:val="000000"/>
          <w:sz w:val="24"/>
        </w:rPr>
        <w:t xml:space="preserve">international </w:t>
      </w:r>
      <w:r w:rsidRPr="00411CFF">
        <w:rPr>
          <w:rFonts w:ascii="Times New Roman" w:hAnsi="Times New Roman"/>
          <w:color w:val="000000"/>
          <w:sz w:val="24"/>
        </w:rPr>
        <w:t>students participating in HSE</w:t>
      </w:r>
      <w:r w:rsidR="00827729" w:rsidRPr="00411CFF">
        <w:rPr>
          <w:rFonts w:ascii="Times New Roman" w:hAnsi="Times New Roman"/>
          <w:color w:val="000000"/>
          <w:sz w:val="24"/>
        </w:rPr>
        <w:t>’s</w:t>
      </w:r>
      <w:r w:rsidRPr="00411CFF">
        <w:rPr>
          <w:rFonts w:ascii="Times New Roman" w:hAnsi="Times New Roman"/>
          <w:color w:val="000000"/>
          <w:sz w:val="24"/>
        </w:rPr>
        <w:t xml:space="preserve"> academic mobility programmes has</w:t>
      </w:r>
      <w:r w:rsidR="00827729" w:rsidRPr="00411CFF">
        <w:rPr>
          <w:rFonts w:ascii="Times New Roman" w:hAnsi="Times New Roman"/>
          <w:color w:val="000000"/>
          <w:sz w:val="24"/>
        </w:rPr>
        <w:t xml:space="preserve"> </w:t>
      </w:r>
      <w:r w:rsidRPr="00411CFF">
        <w:rPr>
          <w:rFonts w:ascii="Times New Roman" w:hAnsi="Times New Roman"/>
          <w:color w:val="000000"/>
          <w:sz w:val="24"/>
        </w:rPr>
        <w:t>increased</w:t>
      </w:r>
      <w:r w:rsidR="00E853F7" w:rsidRPr="00E853F7">
        <w:rPr>
          <w:rFonts w:ascii="Times New Roman" w:hAnsi="Times New Roman"/>
          <w:color w:val="000000"/>
          <w:sz w:val="24"/>
        </w:rPr>
        <w:t xml:space="preserve"> </w:t>
      </w:r>
      <w:r w:rsidR="00E853F7" w:rsidRPr="00411CFF">
        <w:rPr>
          <w:rFonts w:ascii="Times New Roman" w:hAnsi="Times New Roman"/>
          <w:color w:val="000000"/>
          <w:sz w:val="24"/>
        </w:rPr>
        <w:t>significantly</w:t>
      </w:r>
      <w:r w:rsidRPr="00411CFF">
        <w:rPr>
          <w:rFonts w:ascii="Times New Roman" w:hAnsi="Times New Roman"/>
          <w:color w:val="000000"/>
          <w:sz w:val="24"/>
        </w:rPr>
        <w:t xml:space="preserve">. </w:t>
      </w:r>
      <w:r w:rsidR="00697EE5" w:rsidRPr="00411CFF">
        <w:rPr>
          <w:rFonts w:ascii="Times New Roman" w:hAnsi="Times New Roman"/>
          <w:color w:val="000000"/>
          <w:sz w:val="24"/>
        </w:rPr>
        <w:t xml:space="preserve">A total of 746 </w:t>
      </w:r>
      <w:r w:rsidR="000D0DD9">
        <w:rPr>
          <w:rFonts w:ascii="Times New Roman" w:hAnsi="Times New Roman"/>
          <w:color w:val="000000"/>
          <w:sz w:val="24"/>
        </w:rPr>
        <w:t>international students</w:t>
      </w:r>
      <w:r w:rsidRPr="00411CFF">
        <w:rPr>
          <w:rFonts w:ascii="Times New Roman" w:hAnsi="Times New Roman"/>
          <w:color w:val="000000"/>
          <w:sz w:val="24"/>
        </w:rPr>
        <w:t xml:space="preserve"> </w:t>
      </w:r>
      <w:r w:rsidR="000D0DD9">
        <w:rPr>
          <w:rFonts w:ascii="Times New Roman" w:hAnsi="Times New Roman"/>
          <w:color w:val="000000"/>
          <w:sz w:val="24"/>
        </w:rPr>
        <w:t>studied at</w:t>
      </w:r>
      <w:r w:rsidR="00E418ED" w:rsidRPr="00411CFF">
        <w:rPr>
          <w:rFonts w:ascii="Times New Roman" w:hAnsi="Times New Roman"/>
          <w:color w:val="000000"/>
          <w:sz w:val="24"/>
        </w:rPr>
        <w:t xml:space="preserve"> university</w:t>
      </w:r>
      <w:r w:rsidRPr="00411CFF">
        <w:rPr>
          <w:rFonts w:ascii="Times New Roman" w:hAnsi="Times New Roman"/>
          <w:color w:val="000000"/>
          <w:sz w:val="24"/>
        </w:rPr>
        <w:t xml:space="preserve"> in 2016</w:t>
      </w:r>
      <w:r w:rsidR="00A53E01" w:rsidRPr="00411CFF">
        <w:rPr>
          <w:rFonts w:ascii="Times New Roman" w:hAnsi="Times New Roman"/>
          <w:color w:val="000000"/>
          <w:sz w:val="24"/>
        </w:rPr>
        <w:t xml:space="preserve"> (</w:t>
      </w:r>
      <w:r w:rsidRPr="00411CFF">
        <w:rPr>
          <w:rFonts w:ascii="Times New Roman" w:hAnsi="Times New Roman"/>
          <w:color w:val="000000"/>
          <w:sz w:val="24"/>
        </w:rPr>
        <w:t>206 from non-CIS countries</w:t>
      </w:r>
      <w:r w:rsidR="00FD5736" w:rsidRPr="00411CFF">
        <w:rPr>
          <w:rFonts w:ascii="Times New Roman" w:hAnsi="Times New Roman"/>
          <w:color w:val="000000"/>
          <w:sz w:val="24"/>
        </w:rPr>
        <w:t>)</w:t>
      </w:r>
      <w:r w:rsidRPr="00411CFF">
        <w:rPr>
          <w:rFonts w:ascii="Times New Roman" w:hAnsi="Times New Roman"/>
          <w:color w:val="000000"/>
          <w:sz w:val="24"/>
        </w:rPr>
        <w:t xml:space="preserve">. </w:t>
      </w:r>
      <w:r w:rsidR="000D0DD9">
        <w:rPr>
          <w:rFonts w:ascii="Times New Roman" w:hAnsi="Times New Roman"/>
          <w:color w:val="000000"/>
          <w:sz w:val="24"/>
        </w:rPr>
        <w:t>In</w:t>
      </w:r>
      <w:r w:rsidRPr="00411CFF">
        <w:rPr>
          <w:rFonts w:ascii="Times New Roman" w:hAnsi="Times New Roman"/>
          <w:color w:val="000000"/>
          <w:sz w:val="24"/>
        </w:rPr>
        <w:t xml:space="preserve"> 2016/17 academic year, the university </w:t>
      </w:r>
      <w:r w:rsidR="00E90C43" w:rsidRPr="00411CFF">
        <w:rPr>
          <w:rFonts w:ascii="Times New Roman" w:hAnsi="Times New Roman"/>
          <w:color w:val="000000"/>
          <w:sz w:val="24"/>
        </w:rPr>
        <w:t xml:space="preserve">is offering </w:t>
      </w:r>
      <w:r w:rsidRPr="00411CFF">
        <w:rPr>
          <w:rFonts w:ascii="Times New Roman" w:hAnsi="Times New Roman"/>
          <w:color w:val="000000"/>
          <w:sz w:val="24"/>
        </w:rPr>
        <w:t xml:space="preserve">17 Master’s and </w:t>
      </w:r>
      <w:r w:rsidR="008F618B" w:rsidRPr="00411CFF">
        <w:rPr>
          <w:rFonts w:ascii="Times New Roman" w:hAnsi="Times New Roman"/>
          <w:color w:val="000000"/>
          <w:sz w:val="24"/>
        </w:rPr>
        <w:t xml:space="preserve">two </w:t>
      </w:r>
      <w:r w:rsidRPr="00411CFF">
        <w:rPr>
          <w:rFonts w:ascii="Times New Roman" w:hAnsi="Times New Roman"/>
          <w:color w:val="000000"/>
          <w:sz w:val="24"/>
        </w:rPr>
        <w:t>Bachelor’s programmes</w:t>
      </w:r>
      <w:r w:rsidR="000D0DD9">
        <w:rPr>
          <w:rFonts w:ascii="Times New Roman" w:hAnsi="Times New Roman"/>
          <w:color w:val="000000"/>
          <w:sz w:val="24"/>
        </w:rPr>
        <w:t xml:space="preserve"> taught in English</w:t>
      </w:r>
      <w:r w:rsidRPr="00411CFF">
        <w:rPr>
          <w:rFonts w:ascii="Times New Roman" w:hAnsi="Times New Roman"/>
          <w:color w:val="000000"/>
          <w:sz w:val="24"/>
        </w:rPr>
        <w:t xml:space="preserve">. </w:t>
      </w:r>
      <w:r w:rsidR="000D0DD9">
        <w:rPr>
          <w:rFonts w:ascii="Times New Roman" w:hAnsi="Times New Roman"/>
          <w:color w:val="000000"/>
          <w:sz w:val="24"/>
        </w:rPr>
        <w:t>The</w:t>
      </w:r>
      <w:r w:rsidR="009F25B7" w:rsidRPr="009F25B7">
        <w:rPr>
          <w:rFonts w:ascii="Times New Roman" w:hAnsi="Times New Roman"/>
          <w:color w:val="000000"/>
          <w:sz w:val="24"/>
          <w:lang w:val="en-US"/>
        </w:rPr>
        <w:t xml:space="preserve"> </w:t>
      </w:r>
      <w:proofErr w:type="gramStart"/>
      <w:r w:rsidR="000D0DD9">
        <w:rPr>
          <w:rFonts w:ascii="Times New Roman" w:hAnsi="Times New Roman"/>
          <w:color w:val="000000"/>
          <w:sz w:val="24"/>
        </w:rPr>
        <w:t>total of</w:t>
      </w:r>
      <w:r w:rsidRPr="00411CFF">
        <w:rPr>
          <w:rFonts w:ascii="Times New Roman" w:hAnsi="Times New Roman"/>
          <w:color w:val="000000"/>
          <w:sz w:val="24"/>
        </w:rPr>
        <w:t xml:space="preserve"> 2,089 students </w:t>
      </w:r>
      <w:r w:rsidR="000D0DD9">
        <w:rPr>
          <w:rFonts w:ascii="Times New Roman" w:hAnsi="Times New Roman"/>
          <w:color w:val="000000"/>
          <w:sz w:val="24"/>
        </w:rPr>
        <w:t>are</w:t>
      </w:r>
      <w:proofErr w:type="gramEnd"/>
      <w:r w:rsidR="000D0DD9">
        <w:rPr>
          <w:rFonts w:ascii="Times New Roman" w:hAnsi="Times New Roman"/>
          <w:color w:val="000000"/>
          <w:sz w:val="24"/>
        </w:rPr>
        <w:t xml:space="preserve"> currently </w:t>
      </w:r>
      <w:r w:rsidRPr="00411CFF">
        <w:rPr>
          <w:rFonts w:ascii="Times New Roman" w:hAnsi="Times New Roman"/>
          <w:color w:val="000000"/>
          <w:sz w:val="24"/>
        </w:rPr>
        <w:t xml:space="preserve">enrolled in these programmes, including 310 international students. </w:t>
      </w:r>
      <w:r w:rsidR="00E90C43" w:rsidRPr="00411CFF">
        <w:rPr>
          <w:rFonts w:ascii="Times New Roman" w:hAnsi="Times New Roman"/>
          <w:color w:val="000000"/>
          <w:sz w:val="24"/>
        </w:rPr>
        <w:t>Also,</w:t>
      </w:r>
      <w:r w:rsidRPr="00411CFF">
        <w:rPr>
          <w:rFonts w:ascii="Times New Roman" w:hAnsi="Times New Roman"/>
          <w:color w:val="000000"/>
          <w:sz w:val="24"/>
        </w:rPr>
        <w:t xml:space="preserve"> </w:t>
      </w:r>
      <w:r w:rsidR="00E90C43" w:rsidRPr="008272F9">
        <w:rPr>
          <w:rFonts w:ascii="Times New Roman" w:hAnsi="Times New Roman"/>
          <w:color w:val="000000"/>
          <w:sz w:val="24"/>
        </w:rPr>
        <w:t>46</w:t>
      </w:r>
      <w:r w:rsidRPr="008272F9">
        <w:rPr>
          <w:rFonts w:ascii="Times New Roman" w:hAnsi="Times New Roman"/>
          <w:color w:val="000000"/>
          <w:sz w:val="24"/>
        </w:rPr>
        <w:t xml:space="preserve"> educational programmes</w:t>
      </w:r>
      <w:r w:rsidR="00B7148C" w:rsidRPr="008272F9">
        <w:rPr>
          <w:rFonts w:ascii="Times New Roman" w:hAnsi="Times New Roman"/>
          <w:color w:val="000000"/>
          <w:sz w:val="24"/>
        </w:rPr>
        <w:t xml:space="preserve"> (</w:t>
      </w:r>
      <w:proofErr w:type="spellStart"/>
      <w:r w:rsidR="00B7148C" w:rsidRPr="008272F9">
        <w:rPr>
          <w:rFonts w:ascii="Times New Roman" w:hAnsi="Times New Roman"/>
          <w:color w:val="000000"/>
          <w:sz w:val="24"/>
        </w:rPr>
        <w:t>vs</w:t>
      </w:r>
      <w:proofErr w:type="spellEnd"/>
      <w:r w:rsidR="00B7148C" w:rsidRPr="008272F9">
        <w:rPr>
          <w:rFonts w:ascii="Times New Roman" w:hAnsi="Times New Roman"/>
          <w:color w:val="000000"/>
          <w:sz w:val="24"/>
        </w:rPr>
        <w:t xml:space="preserve"> 41 in 2015)</w:t>
      </w:r>
      <w:r w:rsidRPr="008272F9">
        <w:rPr>
          <w:rFonts w:ascii="Times New Roman" w:hAnsi="Times New Roman"/>
          <w:color w:val="000000"/>
          <w:sz w:val="24"/>
        </w:rPr>
        <w:t>, including 44 d</w:t>
      </w:r>
      <w:r w:rsidR="00B52031" w:rsidRPr="008272F9">
        <w:rPr>
          <w:rFonts w:ascii="Times New Roman" w:hAnsi="Times New Roman"/>
          <w:color w:val="000000"/>
          <w:sz w:val="24"/>
        </w:rPr>
        <w:t>ual</w:t>
      </w:r>
      <w:r w:rsidRPr="008272F9">
        <w:rPr>
          <w:rFonts w:ascii="Times New Roman" w:hAnsi="Times New Roman"/>
          <w:color w:val="000000"/>
          <w:sz w:val="24"/>
        </w:rPr>
        <w:t>-degree pro</w:t>
      </w:r>
      <w:r w:rsidRPr="00D301E4">
        <w:rPr>
          <w:rFonts w:ascii="Times New Roman" w:hAnsi="Times New Roman"/>
          <w:color w:val="000000"/>
          <w:sz w:val="24"/>
        </w:rPr>
        <w:t>grammes</w:t>
      </w:r>
      <w:r w:rsidRPr="00411CFF">
        <w:rPr>
          <w:rFonts w:ascii="Times New Roman" w:hAnsi="Times New Roman"/>
          <w:color w:val="000000"/>
          <w:sz w:val="24"/>
        </w:rPr>
        <w:t xml:space="preserve">, are </w:t>
      </w:r>
      <w:r w:rsidR="00E90C43" w:rsidRPr="00411CFF">
        <w:rPr>
          <w:rFonts w:ascii="Times New Roman" w:hAnsi="Times New Roman"/>
          <w:color w:val="000000"/>
          <w:sz w:val="24"/>
        </w:rPr>
        <w:t xml:space="preserve">being </w:t>
      </w:r>
      <w:r w:rsidR="008F618B" w:rsidRPr="00411CFF">
        <w:rPr>
          <w:rFonts w:ascii="Times New Roman" w:hAnsi="Times New Roman"/>
          <w:color w:val="000000"/>
          <w:sz w:val="24"/>
        </w:rPr>
        <w:t xml:space="preserve">offered </w:t>
      </w:r>
      <w:r w:rsidRPr="00411CFF">
        <w:rPr>
          <w:rFonts w:ascii="Times New Roman" w:hAnsi="Times New Roman"/>
          <w:color w:val="000000"/>
          <w:sz w:val="24"/>
        </w:rPr>
        <w:t xml:space="preserve">in partnership with leading universities </w:t>
      </w:r>
      <w:r w:rsidR="00E90C43" w:rsidRPr="00411CFF">
        <w:rPr>
          <w:rFonts w:ascii="Times New Roman" w:hAnsi="Times New Roman"/>
          <w:color w:val="000000"/>
          <w:sz w:val="24"/>
        </w:rPr>
        <w:t xml:space="preserve">in </w:t>
      </w:r>
      <w:r w:rsidRPr="00411CFF">
        <w:rPr>
          <w:rFonts w:ascii="Times New Roman" w:hAnsi="Times New Roman"/>
          <w:color w:val="000000"/>
          <w:sz w:val="24"/>
        </w:rPr>
        <w:t xml:space="preserve">the UK, Austria, Germany, the Netherlands, Italy, Luxemburg, Finland, the USA and China. </w:t>
      </w:r>
      <w:r w:rsidR="009A6451">
        <w:rPr>
          <w:rFonts w:ascii="Times New Roman" w:hAnsi="Times New Roman"/>
          <w:color w:val="000000"/>
          <w:sz w:val="24"/>
        </w:rPr>
        <w:t>In</w:t>
      </w:r>
      <w:r w:rsidRPr="00411CFF">
        <w:rPr>
          <w:rFonts w:ascii="Times New Roman" w:hAnsi="Times New Roman"/>
          <w:color w:val="000000"/>
          <w:sz w:val="24"/>
        </w:rPr>
        <w:t xml:space="preserve"> 2016, new d</w:t>
      </w:r>
      <w:r w:rsidR="009A6451">
        <w:rPr>
          <w:rFonts w:ascii="Times New Roman" w:hAnsi="Times New Roman"/>
          <w:color w:val="000000"/>
          <w:sz w:val="24"/>
        </w:rPr>
        <w:t>ual</w:t>
      </w:r>
      <w:r w:rsidRPr="00411CFF">
        <w:rPr>
          <w:rFonts w:ascii="Times New Roman" w:hAnsi="Times New Roman"/>
          <w:color w:val="000000"/>
          <w:sz w:val="24"/>
        </w:rPr>
        <w:t xml:space="preserve"> degree</w:t>
      </w:r>
      <w:r w:rsidR="009A6451">
        <w:rPr>
          <w:rFonts w:ascii="Times New Roman" w:hAnsi="Times New Roman"/>
          <w:color w:val="000000"/>
          <w:sz w:val="24"/>
        </w:rPr>
        <w:t xml:space="preserve"> </w:t>
      </w:r>
      <w:r w:rsidRPr="00411CFF">
        <w:rPr>
          <w:rFonts w:ascii="Times New Roman" w:hAnsi="Times New Roman"/>
          <w:color w:val="000000"/>
          <w:sz w:val="24"/>
        </w:rPr>
        <w:t>Master’s programmes were launched in partnership with the University of South Carolina</w:t>
      </w:r>
      <w:r w:rsidR="00BD5973" w:rsidRPr="00411CFF">
        <w:rPr>
          <w:rFonts w:ascii="Times New Roman" w:hAnsi="Times New Roman"/>
          <w:color w:val="000000"/>
          <w:sz w:val="24"/>
        </w:rPr>
        <w:t xml:space="preserve"> (USA)</w:t>
      </w:r>
      <w:r w:rsidRPr="00411CFF">
        <w:rPr>
          <w:rFonts w:ascii="Times New Roman" w:hAnsi="Times New Roman"/>
          <w:color w:val="000000"/>
          <w:sz w:val="24"/>
        </w:rPr>
        <w:t>, Lappeenranta University of Technology</w:t>
      </w:r>
      <w:r w:rsidR="00BD5973" w:rsidRPr="00411CFF">
        <w:rPr>
          <w:rFonts w:ascii="Times New Roman" w:hAnsi="Times New Roman"/>
          <w:color w:val="000000"/>
          <w:sz w:val="24"/>
        </w:rPr>
        <w:t xml:space="preserve"> (Finland)</w:t>
      </w:r>
      <w:r w:rsidR="00B2783D" w:rsidRPr="00411CFF">
        <w:rPr>
          <w:rFonts w:ascii="Times New Roman" w:hAnsi="Times New Roman"/>
          <w:color w:val="000000"/>
          <w:sz w:val="24"/>
        </w:rPr>
        <w:t>,</w:t>
      </w:r>
      <w:r w:rsidRPr="00411CFF">
        <w:rPr>
          <w:rFonts w:ascii="Times New Roman" w:hAnsi="Times New Roman"/>
          <w:color w:val="000000"/>
          <w:sz w:val="24"/>
        </w:rPr>
        <w:t xml:space="preserve"> and </w:t>
      </w:r>
      <w:proofErr w:type="spellStart"/>
      <w:r w:rsidRPr="00411CFF">
        <w:rPr>
          <w:rFonts w:ascii="Times New Roman" w:hAnsi="Times New Roman"/>
          <w:color w:val="000000"/>
          <w:sz w:val="24"/>
        </w:rPr>
        <w:t>Blaise</w:t>
      </w:r>
      <w:proofErr w:type="spellEnd"/>
      <w:r w:rsidRPr="00411CFF">
        <w:rPr>
          <w:rFonts w:ascii="Times New Roman" w:hAnsi="Times New Roman"/>
          <w:color w:val="000000"/>
          <w:sz w:val="24"/>
        </w:rPr>
        <w:t xml:space="preserve"> Pascal University</w:t>
      </w:r>
      <w:r w:rsidR="00701CBC" w:rsidRPr="00411CFF">
        <w:rPr>
          <w:rFonts w:ascii="Times New Roman" w:hAnsi="Times New Roman"/>
          <w:color w:val="000000"/>
          <w:sz w:val="24"/>
        </w:rPr>
        <w:t xml:space="preserve"> (France)</w:t>
      </w:r>
      <w:r w:rsidRPr="00411CFF">
        <w:rPr>
          <w:rFonts w:ascii="Times New Roman" w:hAnsi="Times New Roman"/>
          <w:color w:val="000000"/>
          <w:sz w:val="24"/>
        </w:rPr>
        <w:t xml:space="preserve">. </w:t>
      </w:r>
    </w:p>
    <w:p w14:paraId="4DBFB328" w14:textId="5034BD1F" w:rsidR="00F40E64" w:rsidRPr="00411CFF" w:rsidRDefault="0016640D" w:rsidP="0051131B">
      <w:pPr>
        <w:spacing w:after="0"/>
        <w:ind w:firstLine="709"/>
        <w:jc w:val="both"/>
        <w:rPr>
          <w:rFonts w:ascii="Times New Roman" w:hAnsi="Times New Roman"/>
          <w:color w:val="000000"/>
          <w:sz w:val="24"/>
        </w:rPr>
      </w:pPr>
      <w:r w:rsidRPr="00411CFF">
        <w:rPr>
          <w:rFonts w:ascii="Times New Roman" w:hAnsi="Times New Roman"/>
          <w:color w:val="000000"/>
          <w:sz w:val="24"/>
        </w:rPr>
        <w:t xml:space="preserve">There has been significant </w:t>
      </w:r>
      <w:r w:rsidR="00F40E64" w:rsidRPr="00411CFF">
        <w:rPr>
          <w:rFonts w:ascii="Times New Roman" w:hAnsi="Times New Roman"/>
          <w:color w:val="000000"/>
          <w:sz w:val="24"/>
        </w:rPr>
        <w:t xml:space="preserve">growth in </w:t>
      </w:r>
      <w:r w:rsidRPr="00411CFF">
        <w:rPr>
          <w:rFonts w:ascii="Times New Roman" w:hAnsi="Times New Roman"/>
          <w:color w:val="000000"/>
          <w:sz w:val="24"/>
        </w:rPr>
        <w:t>total</w:t>
      </w:r>
      <w:r w:rsidR="00F40E64" w:rsidRPr="00411CFF">
        <w:rPr>
          <w:rFonts w:ascii="Times New Roman" w:hAnsi="Times New Roman"/>
          <w:color w:val="000000"/>
          <w:sz w:val="24"/>
        </w:rPr>
        <w:t xml:space="preserve"> </w:t>
      </w:r>
      <w:r w:rsidR="009A6451">
        <w:rPr>
          <w:rFonts w:ascii="Times New Roman" w:hAnsi="Times New Roman"/>
          <w:color w:val="000000"/>
          <w:sz w:val="24"/>
        </w:rPr>
        <w:t>number of international</w:t>
      </w:r>
      <w:r w:rsidR="00F40E64" w:rsidRPr="00411CFF">
        <w:rPr>
          <w:rFonts w:ascii="Times New Roman" w:hAnsi="Times New Roman"/>
          <w:color w:val="000000"/>
          <w:sz w:val="24"/>
        </w:rPr>
        <w:t xml:space="preserve"> students involved in </w:t>
      </w:r>
      <w:r w:rsidRPr="00411CFF">
        <w:rPr>
          <w:rFonts w:ascii="Times New Roman" w:hAnsi="Times New Roman"/>
          <w:color w:val="000000"/>
          <w:sz w:val="24"/>
        </w:rPr>
        <w:t xml:space="preserve">HSE’s </w:t>
      </w:r>
      <w:r w:rsidR="009A6451">
        <w:rPr>
          <w:rFonts w:ascii="Times New Roman" w:hAnsi="Times New Roman"/>
          <w:color w:val="000000"/>
          <w:sz w:val="24"/>
        </w:rPr>
        <w:t xml:space="preserve">academic </w:t>
      </w:r>
      <w:r w:rsidR="00F40E64" w:rsidRPr="00411CFF">
        <w:rPr>
          <w:rFonts w:ascii="Times New Roman" w:hAnsi="Times New Roman"/>
          <w:color w:val="000000"/>
          <w:sz w:val="24"/>
        </w:rPr>
        <w:t>mobility program</w:t>
      </w:r>
      <w:r w:rsidRPr="00411CFF">
        <w:rPr>
          <w:rFonts w:ascii="Times New Roman" w:hAnsi="Times New Roman"/>
          <w:color w:val="000000"/>
          <w:sz w:val="24"/>
        </w:rPr>
        <w:t>me</w:t>
      </w:r>
      <w:r w:rsidR="00F40E64" w:rsidRPr="00411CFF">
        <w:rPr>
          <w:rFonts w:ascii="Times New Roman" w:hAnsi="Times New Roman"/>
          <w:color w:val="000000"/>
          <w:sz w:val="24"/>
        </w:rPr>
        <w:t xml:space="preserve">s. </w:t>
      </w:r>
      <w:r w:rsidR="00A47D62" w:rsidRPr="00411CFF">
        <w:rPr>
          <w:rFonts w:ascii="Times New Roman" w:hAnsi="Times New Roman"/>
          <w:color w:val="000000"/>
          <w:sz w:val="24"/>
        </w:rPr>
        <w:t xml:space="preserve">For instance, 777 </w:t>
      </w:r>
      <w:r w:rsidR="00F40E64" w:rsidRPr="00411CFF">
        <w:rPr>
          <w:rFonts w:ascii="Times New Roman" w:hAnsi="Times New Roman"/>
          <w:color w:val="000000"/>
          <w:sz w:val="24"/>
        </w:rPr>
        <w:t xml:space="preserve">international students (including </w:t>
      </w:r>
      <w:r w:rsidR="00E853F7" w:rsidRPr="00411CFF">
        <w:rPr>
          <w:rFonts w:ascii="Times New Roman" w:hAnsi="Times New Roman"/>
          <w:color w:val="000000"/>
          <w:sz w:val="24"/>
        </w:rPr>
        <w:t xml:space="preserve">506 from non-CIS countries </w:t>
      </w:r>
      <w:r w:rsidR="00E853F7">
        <w:rPr>
          <w:rFonts w:ascii="Times New Roman" w:hAnsi="Times New Roman"/>
          <w:color w:val="000000"/>
          <w:sz w:val="24"/>
        </w:rPr>
        <w:t xml:space="preserve">and </w:t>
      </w:r>
      <w:r w:rsidR="00F40E64" w:rsidRPr="00411CFF">
        <w:rPr>
          <w:rFonts w:ascii="Times New Roman" w:hAnsi="Times New Roman"/>
          <w:color w:val="000000"/>
          <w:sz w:val="24"/>
        </w:rPr>
        <w:t xml:space="preserve">520 students studying for </w:t>
      </w:r>
      <w:r w:rsidR="00B7148C">
        <w:rPr>
          <w:rFonts w:ascii="Times New Roman" w:hAnsi="Times New Roman"/>
          <w:color w:val="000000"/>
          <w:sz w:val="24"/>
        </w:rPr>
        <w:t>more</w:t>
      </w:r>
      <w:r w:rsidR="00B7148C" w:rsidRPr="00D301E4">
        <w:rPr>
          <w:rFonts w:ascii="Times New Roman" w:hAnsi="Times New Roman"/>
          <w:color w:val="000000"/>
          <w:sz w:val="24"/>
        </w:rPr>
        <w:t xml:space="preserve"> </w:t>
      </w:r>
      <w:r w:rsidR="00F40E64" w:rsidRPr="00411CFF">
        <w:rPr>
          <w:rFonts w:ascii="Times New Roman" w:hAnsi="Times New Roman"/>
          <w:color w:val="000000"/>
          <w:sz w:val="24"/>
        </w:rPr>
        <w:t xml:space="preserve">than a month) </w:t>
      </w:r>
      <w:r w:rsidR="00F27C6B" w:rsidRPr="00411CFF">
        <w:rPr>
          <w:rFonts w:ascii="Times New Roman" w:hAnsi="Times New Roman"/>
          <w:color w:val="000000"/>
          <w:sz w:val="24"/>
        </w:rPr>
        <w:t>part</w:t>
      </w:r>
      <w:r w:rsidR="009A6451">
        <w:rPr>
          <w:rFonts w:ascii="Times New Roman" w:hAnsi="Times New Roman"/>
          <w:color w:val="000000"/>
          <w:sz w:val="24"/>
        </w:rPr>
        <w:t>icipated</w:t>
      </w:r>
      <w:r w:rsidR="00F27C6B" w:rsidRPr="00411CFF">
        <w:rPr>
          <w:rFonts w:ascii="Times New Roman" w:hAnsi="Times New Roman"/>
          <w:color w:val="000000"/>
          <w:sz w:val="24"/>
        </w:rPr>
        <w:t xml:space="preserve"> in </w:t>
      </w:r>
      <w:r w:rsidR="00F40E64" w:rsidRPr="00411CFF">
        <w:rPr>
          <w:rFonts w:ascii="Times New Roman" w:hAnsi="Times New Roman"/>
          <w:color w:val="000000"/>
          <w:sz w:val="24"/>
        </w:rPr>
        <w:t>academic mobility programmes in 2016</w:t>
      </w:r>
      <w:r w:rsidR="00F27C6B" w:rsidRPr="00411CFF">
        <w:rPr>
          <w:rFonts w:ascii="Times New Roman" w:hAnsi="Times New Roman"/>
          <w:color w:val="000000"/>
          <w:sz w:val="24"/>
        </w:rPr>
        <w:t xml:space="preserve">. </w:t>
      </w:r>
      <w:r w:rsidR="004571C5">
        <w:rPr>
          <w:rFonts w:ascii="Times New Roman" w:hAnsi="Times New Roman"/>
          <w:color w:val="000000"/>
          <w:sz w:val="24"/>
        </w:rPr>
        <w:t>A</w:t>
      </w:r>
      <w:r w:rsidR="00F27C6B" w:rsidRPr="00D301E4">
        <w:rPr>
          <w:rFonts w:ascii="Times New Roman" w:hAnsi="Times New Roman"/>
          <w:color w:val="000000"/>
          <w:sz w:val="24"/>
        </w:rPr>
        <w:t xml:space="preserve"> </w:t>
      </w:r>
      <w:r w:rsidR="00F27C6B" w:rsidRPr="00411CFF">
        <w:rPr>
          <w:rFonts w:ascii="Times New Roman" w:hAnsi="Times New Roman"/>
          <w:color w:val="000000"/>
          <w:sz w:val="24"/>
        </w:rPr>
        <w:t>major increase in</w:t>
      </w:r>
      <w:r w:rsidR="00F40E64" w:rsidRPr="00411CFF">
        <w:rPr>
          <w:rFonts w:ascii="Times New Roman" w:hAnsi="Times New Roman"/>
          <w:color w:val="000000"/>
          <w:sz w:val="24"/>
        </w:rPr>
        <w:t xml:space="preserve"> </w:t>
      </w:r>
      <w:r w:rsidR="00892722" w:rsidRPr="00411CFF">
        <w:rPr>
          <w:rFonts w:ascii="Times New Roman" w:hAnsi="Times New Roman"/>
          <w:color w:val="000000"/>
          <w:sz w:val="24"/>
        </w:rPr>
        <w:t xml:space="preserve">the </w:t>
      </w:r>
      <w:r w:rsidR="00F40E64" w:rsidRPr="00411CFF">
        <w:rPr>
          <w:rFonts w:ascii="Times New Roman" w:hAnsi="Times New Roman"/>
          <w:color w:val="000000"/>
          <w:sz w:val="24"/>
        </w:rPr>
        <w:t xml:space="preserve">number of </w:t>
      </w:r>
      <w:r w:rsidR="003360C6">
        <w:rPr>
          <w:rFonts w:ascii="Times New Roman" w:hAnsi="Times New Roman"/>
          <w:color w:val="000000"/>
          <w:sz w:val="24"/>
        </w:rPr>
        <w:t>international</w:t>
      </w:r>
      <w:r w:rsidR="003360C6" w:rsidRPr="00411CFF">
        <w:rPr>
          <w:rFonts w:ascii="Times New Roman" w:hAnsi="Times New Roman"/>
          <w:color w:val="000000"/>
          <w:sz w:val="24"/>
        </w:rPr>
        <w:t xml:space="preserve"> </w:t>
      </w:r>
      <w:r w:rsidR="00F40E64" w:rsidRPr="00411CFF">
        <w:rPr>
          <w:rFonts w:ascii="Times New Roman" w:hAnsi="Times New Roman"/>
          <w:color w:val="000000"/>
          <w:sz w:val="24"/>
        </w:rPr>
        <w:t xml:space="preserve">students </w:t>
      </w:r>
      <w:r w:rsidR="00892722" w:rsidRPr="00411CFF">
        <w:rPr>
          <w:rFonts w:ascii="Times New Roman" w:hAnsi="Times New Roman"/>
          <w:color w:val="000000"/>
          <w:sz w:val="24"/>
        </w:rPr>
        <w:t>in</w:t>
      </w:r>
      <w:r w:rsidR="00F40E64" w:rsidRPr="00411CFF">
        <w:rPr>
          <w:rFonts w:ascii="Times New Roman" w:hAnsi="Times New Roman"/>
          <w:color w:val="000000"/>
          <w:sz w:val="24"/>
        </w:rPr>
        <w:t xml:space="preserve"> mobility programmes </w:t>
      </w:r>
      <w:r w:rsidR="004571C5">
        <w:rPr>
          <w:rFonts w:ascii="Times New Roman" w:hAnsi="Times New Roman"/>
          <w:color w:val="000000"/>
          <w:sz w:val="24"/>
        </w:rPr>
        <w:t>has been a</w:t>
      </w:r>
      <w:r w:rsidR="003360C6">
        <w:rPr>
          <w:rFonts w:ascii="Times New Roman" w:hAnsi="Times New Roman"/>
          <w:color w:val="000000"/>
          <w:sz w:val="24"/>
        </w:rPr>
        <w:t>chiev</w:t>
      </w:r>
      <w:r w:rsidR="004571C5">
        <w:rPr>
          <w:rFonts w:ascii="Times New Roman" w:hAnsi="Times New Roman"/>
          <w:color w:val="000000"/>
          <w:sz w:val="24"/>
        </w:rPr>
        <w:t xml:space="preserve">ed </w:t>
      </w:r>
      <w:r w:rsidR="00F27C6B" w:rsidRPr="00411CFF">
        <w:rPr>
          <w:rFonts w:ascii="Times New Roman" w:hAnsi="Times New Roman"/>
          <w:color w:val="000000"/>
          <w:sz w:val="24"/>
        </w:rPr>
        <w:t>thanks to</w:t>
      </w:r>
      <w:r w:rsidR="00F40E64" w:rsidRPr="00411CFF">
        <w:rPr>
          <w:rFonts w:ascii="Times New Roman" w:hAnsi="Times New Roman"/>
          <w:color w:val="000000"/>
          <w:sz w:val="24"/>
        </w:rPr>
        <w:t xml:space="preserve"> student exchange programmes in partnership with foreign universities and special short-term educational </w:t>
      </w:r>
      <w:r w:rsidR="004571C5">
        <w:rPr>
          <w:rFonts w:ascii="Times New Roman" w:hAnsi="Times New Roman"/>
          <w:color w:val="000000"/>
          <w:sz w:val="24"/>
        </w:rPr>
        <w:t>programmes</w:t>
      </w:r>
      <w:r w:rsidR="00892722" w:rsidRPr="00D301E4">
        <w:rPr>
          <w:rFonts w:ascii="Times New Roman" w:hAnsi="Times New Roman"/>
          <w:color w:val="000000"/>
          <w:sz w:val="24"/>
        </w:rPr>
        <w:t xml:space="preserve"> </w:t>
      </w:r>
      <w:r w:rsidR="00F40E64" w:rsidRPr="00411CFF">
        <w:rPr>
          <w:rFonts w:ascii="Times New Roman" w:hAnsi="Times New Roman"/>
          <w:color w:val="000000"/>
          <w:sz w:val="24"/>
        </w:rPr>
        <w:t xml:space="preserve">(Summer University, Semester in Moscow, Math in Moscow, and Russian as a Foreign Language). </w:t>
      </w:r>
    </w:p>
    <w:p w14:paraId="4E48DC39" w14:textId="12482269" w:rsidR="00F40E64" w:rsidRPr="00411CFF" w:rsidRDefault="0099305A"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The number of</w:t>
      </w:r>
      <w:r w:rsidR="00F40E64" w:rsidRPr="00411CFF">
        <w:rPr>
          <w:rFonts w:ascii="Times New Roman" w:hAnsi="Times New Roman"/>
          <w:color w:val="000000"/>
          <w:sz w:val="24"/>
        </w:rPr>
        <w:t xml:space="preserve"> HSE students </w:t>
      </w:r>
      <w:r w:rsidRPr="00411CFF">
        <w:rPr>
          <w:rFonts w:ascii="Times New Roman" w:hAnsi="Times New Roman"/>
          <w:color w:val="000000"/>
          <w:sz w:val="24"/>
        </w:rPr>
        <w:t xml:space="preserve">taking part in </w:t>
      </w:r>
      <w:r w:rsidR="00F40E64" w:rsidRPr="00411CFF">
        <w:rPr>
          <w:rFonts w:ascii="Times New Roman" w:hAnsi="Times New Roman"/>
          <w:color w:val="000000"/>
          <w:sz w:val="24"/>
        </w:rPr>
        <w:t xml:space="preserve">international academic mobility programmes </w:t>
      </w:r>
      <w:r w:rsidRPr="00411CFF">
        <w:rPr>
          <w:rFonts w:ascii="Times New Roman" w:hAnsi="Times New Roman"/>
          <w:color w:val="000000"/>
          <w:sz w:val="24"/>
        </w:rPr>
        <w:t>has also increase</w:t>
      </w:r>
      <w:r w:rsidR="00011898" w:rsidRPr="00411CFF">
        <w:rPr>
          <w:rFonts w:ascii="Times New Roman" w:hAnsi="Times New Roman"/>
          <w:color w:val="000000"/>
          <w:sz w:val="24"/>
        </w:rPr>
        <w:t>d</w:t>
      </w:r>
      <w:r w:rsidRPr="00411CFF">
        <w:rPr>
          <w:rFonts w:ascii="Times New Roman" w:hAnsi="Times New Roman"/>
          <w:color w:val="000000"/>
          <w:sz w:val="24"/>
        </w:rPr>
        <w:t>.</w:t>
      </w:r>
      <w:r w:rsidR="00F40E64" w:rsidRPr="00411CFF">
        <w:rPr>
          <w:rFonts w:ascii="Times New Roman" w:hAnsi="Times New Roman"/>
          <w:color w:val="000000"/>
          <w:sz w:val="24"/>
        </w:rPr>
        <w:t xml:space="preserve"> </w:t>
      </w:r>
      <w:r w:rsidRPr="00411CFF">
        <w:rPr>
          <w:rFonts w:ascii="Times New Roman" w:hAnsi="Times New Roman"/>
          <w:color w:val="000000"/>
          <w:sz w:val="24"/>
        </w:rPr>
        <w:t>I</w:t>
      </w:r>
      <w:r w:rsidR="00F40E64" w:rsidRPr="00411CFF">
        <w:rPr>
          <w:rFonts w:ascii="Times New Roman" w:hAnsi="Times New Roman"/>
          <w:color w:val="000000"/>
          <w:sz w:val="24"/>
        </w:rPr>
        <w:t xml:space="preserve">n 2016, </w:t>
      </w:r>
      <w:r w:rsidR="00403A08" w:rsidRPr="00411CFF">
        <w:rPr>
          <w:rFonts w:ascii="Times New Roman" w:hAnsi="Times New Roman"/>
          <w:color w:val="000000"/>
          <w:sz w:val="24"/>
        </w:rPr>
        <w:t xml:space="preserve">a total of </w:t>
      </w:r>
      <w:r w:rsidRPr="00411CFF">
        <w:rPr>
          <w:rFonts w:ascii="Times New Roman" w:hAnsi="Times New Roman"/>
          <w:color w:val="000000"/>
          <w:sz w:val="24"/>
        </w:rPr>
        <w:t xml:space="preserve">987 </w:t>
      </w:r>
      <w:r w:rsidR="00F40E64" w:rsidRPr="00411CFF">
        <w:rPr>
          <w:rFonts w:ascii="Times New Roman" w:hAnsi="Times New Roman"/>
          <w:color w:val="000000"/>
          <w:sz w:val="24"/>
        </w:rPr>
        <w:t xml:space="preserve">HSE students </w:t>
      </w:r>
      <w:r w:rsidR="00011898" w:rsidRPr="00411CFF">
        <w:rPr>
          <w:rFonts w:ascii="Times New Roman" w:hAnsi="Times New Roman"/>
          <w:color w:val="000000"/>
          <w:sz w:val="24"/>
        </w:rPr>
        <w:t xml:space="preserve">were </w:t>
      </w:r>
      <w:r w:rsidR="00F40E64" w:rsidRPr="00411CFF">
        <w:rPr>
          <w:rFonts w:ascii="Times New Roman" w:hAnsi="Times New Roman"/>
          <w:color w:val="000000"/>
          <w:sz w:val="24"/>
        </w:rPr>
        <w:t>enrolled in program</w:t>
      </w:r>
      <w:r w:rsidRPr="00411CFF">
        <w:rPr>
          <w:rFonts w:ascii="Times New Roman" w:hAnsi="Times New Roman"/>
          <w:color w:val="000000"/>
          <w:sz w:val="24"/>
        </w:rPr>
        <w:t>me</w:t>
      </w:r>
      <w:r w:rsidR="00F40E64" w:rsidRPr="00411CFF">
        <w:rPr>
          <w:rFonts w:ascii="Times New Roman" w:hAnsi="Times New Roman"/>
          <w:color w:val="000000"/>
          <w:sz w:val="24"/>
        </w:rPr>
        <w:t xml:space="preserve">s hosted by </w:t>
      </w:r>
      <w:r w:rsidR="00011898" w:rsidRPr="00411CFF">
        <w:rPr>
          <w:rFonts w:ascii="Times New Roman" w:hAnsi="Times New Roman"/>
          <w:color w:val="000000"/>
          <w:sz w:val="24"/>
        </w:rPr>
        <w:t>academic institutions in</w:t>
      </w:r>
      <w:r w:rsidR="00F40E64" w:rsidRPr="00411CFF">
        <w:rPr>
          <w:rFonts w:ascii="Times New Roman" w:hAnsi="Times New Roman"/>
          <w:color w:val="000000"/>
          <w:sz w:val="24"/>
        </w:rPr>
        <w:t xml:space="preserve"> Germany, Italy, Spain, the Netherlands, Norway, the UK, China, South Korea and Japan (</w:t>
      </w:r>
      <w:r w:rsidR="003360C6">
        <w:rPr>
          <w:rFonts w:ascii="Times New Roman" w:hAnsi="Times New Roman"/>
          <w:color w:val="000000"/>
          <w:sz w:val="24"/>
        </w:rPr>
        <w:t>compared to</w:t>
      </w:r>
      <w:r w:rsidR="00F40E64" w:rsidRPr="00411CFF">
        <w:rPr>
          <w:rFonts w:ascii="Times New Roman" w:hAnsi="Times New Roman"/>
          <w:color w:val="000000"/>
          <w:sz w:val="24"/>
        </w:rPr>
        <w:t xml:space="preserve"> 678 in 2015). </w:t>
      </w:r>
    </w:p>
    <w:p w14:paraId="5C35569D" w14:textId="1CA604DA" w:rsidR="00F40E64" w:rsidRPr="00411CFF" w:rsidRDefault="003360C6" w:rsidP="0051131B">
      <w:pPr>
        <w:spacing w:after="0"/>
        <w:ind w:firstLine="709"/>
        <w:jc w:val="both"/>
        <w:rPr>
          <w:rFonts w:ascii="Times New Roman" w:hAnsi="Times New Roman"/>
          <w:color w:val="000000"/>
          <w:sz w:val="24"/>
          <w:szCs w:val="24"/>
        </w:rPr>
      </w:pPr>
      <w:r>
        <w:rPr>
          <w:rFonts w:ascii="Times New Roman" w:hAnsi="Times New Roman"/>
          <w:color w:val="000000"/>
          <w:sz w:val="24"/>
        </w:rPr>
        <w:t>In</w:t>
      </w:r>
      <w:r w:rsidR="00011898" w:rsidRPr="00411CFF">
        <w:rPr>
          <w:rFonts w:ascii="Times New Roman" w:hAnsi="Times New Roman"/>
          <w:color w:val="000000"/>
          <w:sz w:val="24"/>
        </w:rPr>
        <w:t xml:space="preserve"> </w:t>
      </w:r>
      <w:r w:rsidR="00F40E64" w:rsidRPr="00411CFF">
        <w:rPr>
          <w:rFonts w:ascii="Times New Roman" w:hAnsi="Times New Roman"/>
          <w:color w:val="000000"/>
          <w:sz w:val="24"/>
        </w:rPr>
        <w:t>2016/17 academic year</w:t>
      </w:r>
      <w:r w:rsidR="00E853F7">
        <w:rPr>
          <w:rFonts w:ascii="Times New Roman" w:hAnsi="Times New Roman"/>
          <w:color w:val="000000"/>
          <w:sz w:val="24"/>
        </w:rPr>
        <w:t xml:space="preserve">, </w:t>
      </w:r>
      <w:r w:rsidR="00F40E64" w:rsidRPr="00411CFF">
        <w:rPr>
          <w:rFonts w:ascii="Times New Roman" w:hAnsi="Times New Roman"/>
          <w:color w:val="000000"/>
          <w:sz w:val="24"/>
        </w:rPr>
        <w:t xml:space="preserve">the share of English-taught courses at HSE </w:t>
      </w:r>
      <w:r>
        <w:rPr>
          <w:rFonts w:ascii="Times New Roman" w:hAnsi="Times New Roman"/>
          <w:color w:val="000000"/>
          <w:sz w:val="24"/>
        </w:rPr>
        <w:t>has increased to</w:t>
      </w:r>
      <w:r w:rsidR="00A8384B" w:rsidRPr="00411CFF">
        <w:rPr>
          <w:rFonts w:ascii="Times New Roman" w:hAnsi="Times New Roman"/>
          <w:color w:val="000000"/>
          <w:sz w:val="24"/>
        </w:rPr>
        <w:t xml:space="preserve"> </w:t>
      </w:r>
      <w:r w:rsidR="00F40E64" w:rsidRPr="00411CFF">
        <w:rPr>
          <w:rFonts w:ascii="Times New Roman" w:hAnsi="Times New Roman"/>
          <w:color w:val="000000"/>
          <w:sz w:val="24"/>
        </w:rPr>
        <w:t xml:space="preserve">21.5%, </w:t>
      </w:r>
      <w:r>
        <w:rPr>
          <w:rFonts w:ascii="Times New Roman" w:hAnsi="Times New Roman"/>
          <w:color w:val="000000"/>
          <w:sz w:val="24"/>
        </w:rPr>
        <w:t xml:space="preserve">compared to 18.7% </w:t>
      </w:r>
      <w:r w:rsidR="00A8384B" w:rsidRPr="00411CFF">
        <w:rPr>
          <w:rFonts w:ascii="Times New Roman" w:hAnsi="Times New Roman"/>
          <w:color w:val="000000"/>
          <w:sz w:val="24"/>
        </w:rPr>
        <w:t xml:space="preserve">in </w:t>
      </w:r>
      <w:r w:rsidR="00F40E64" w:rsidRPr="00411CFF">
        <w:rPr>
          <w:rFonts w:ascii="Times New Roman" w:hAnsi="Times New Roman"/>
          <w:color w:val="000000"/>
          <w:sz w:val="24"/>
        </w:rPr>
        <w:t>2015/16</w:t>
      </w:r>
      <w:r w:rsidR="00056D2B" w:rsidRPr="00411CFF">
        <w:rPr>
          <w:rFonts w:ascii="Times New Roman" w:hAnsi="Times New Roman"/>
          <w:color w:val="000000"/>
          <w:sz w:val="24"/>
        </w:rPr>
        <w:t xml:space="preserve">. </w:t>
      </w:r>
      <w:r w:rsidR="00F40E64" w:rsidRPr="00D301E4">
        <w:rPr>
          <w:rFonts w:ascii="Times New Roman" w:hAnsi="Times New Roman"/>
          <w:color w:val="000000"/>
          <w:sz w:val="24"/>
        </w:rPr>
        <w:t xml:space="preserve">The </w:t>
      </w:r>
      <w:r>
        <w:rPr>
          <w:rFonts w:ascii="Times New Roman" w:hAnsi="Times New Roman"/>
          <w:color w:val="000000"/>
          <w:sz w:val="24"/>
        </w:rPr>
        <w:t xml:space="preserve">undergraduate </w:t>
      </w:r>
      <w:r w:rsidR="00F40E64" w:rsidRPr="00D301E4">
        <w:rPr>
          <w:rFonts w:ascii="Times New Roman" w:hAnsi="Times New Roman"/>
          <w:color w:val="000000"/>
          <w:sz w:val="24"/>
        </w:rPr>
        <w:t xml:space="preserve">curriculum </w:t>
      </w:r>
      <w:r w:rsidR="00F40E64" w:rsidRPr="00411CFF">
        <w:rPr>
          <w:rFonts w:ascii="Times New Roman" w:hAnsi="Times New Roman"/>
          <w:color w:val="000000"/>
          <w:sz w:val="24"/>
        </w:rPr>
        <w:t>now include</w:t>
      </w:r>
      <w:r w:rsidR="003D7C78" w:rsidRPr="00411CFF">
        <w:rPr>
          <w:rFonts w:ascii="Times New Roman" w:hAnsi="Times New Roman"/>
          <w:color w:val="000000"/>
          <w:sz w:val="24"/>
        </w:rPr>
        <w:t>s</w:t>
      </w:r>
      <w:r w:rsidR="00F40E64" w:rsidRPr="00411CFF">
        <w:rPr>
          <w:rFonts w:ascii="Times New Roman" w:hAnsi="Times New Roman"/>
          <w:color w:val="000000"/>
          <w:sz w:val="24"/>
        </w:rPr>
        <w:t xml:space="preserve"> </w:t>
      </w:r>
      <w:r>
        <w:rPr>
          <w:rFonts w:ascii="Times New Roman" w:hAnsi="Times New Roman"/>
          <w:color w:val="000000"/>
          <w:sz w:val="24"/>
        </w:rPr>
        <w:t xml:space="preserve">at least one sophomore and two junior and senior </w:t>
      </w:r>
      <w:r w:rsidR="00F40E64" w:rsidRPr="00411CFF">
        <w:rPr>
          <w:rFonts w:ascii="Times New Roman" w:hAnsi="Times New Roman"/>
          <w:color w:val="000000"/>
          <w:sz w:val="24"/>
        </w:rPr>
        <w:t>mandatory courses</w:t>
      </w:r>
      <w:r w:rsidR="003D7C78" w:rsidRPr="00411CFF">
        <w:rPr>
          <w:rFonts w:ascii="Times New Roman" w:hAnsi="Times New Roman"/>
          <w:color w:val="000000"/>
          <w:sz w:val="24"/>
        </w:rPr>
        <w:t xml:space="preserve"> </w:t>
      </w:r>
      <w:r>
        <w:rPr>
          <w:rFonts w:ascii="Times New Roman" w:hAnsi="Times New Roman"/>
          <w:color w:val="000000"/>
          <w:sz w:val="24"/>
        </w:rPr>
        <w:t>taught in English</w:t>
      </w:r>
      <w:r w:rsidR="00F40E64" w:rsidRPr="00411CFF">
        <w:rPr>
          <w:rFonts w:ascii="Times New Roman" w:hAnsi="Times New Roman"/>
          <w:color w:val="000000"/>
          <w:sz w:val="24"/>
        </w:rPr>
        <w:t xml:space="preserve">. </w:t>
      </w:r>
    </w:p>
    <w:p w14:paraId="0548B20F" w14:textId="23639C0F" w:rsidR="00F40E64" w:rsidRPr="00411CFF" w:rsidRDefault="00082BD2"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HSE</w:t>
      </w:r>
      <w:r w:rsidR="00F40E64" w:rsidRPr="00411CFF">
        <w:rPr>
          <w:rFonts w:ascii="Times New Roman" w:hAnsi="Times New Roman"/>
          <w:color w:val="000000"/>
          <w:sz w:val="24"/>
        </w:rPr>
        <w:t xml:space="preserve"> actively promotes its </w:t>
      </w:r>
      <w:r w:rsidR="00B42BAD" w:rsidRPr="00411CFF">
        <w:rPr>
          <w:rFonts w:ascii="Times New Roman" w:hAnsi="Times New Roman"/>
          <w:color w:val="000000"/>
          <w:sz w:val="24"/>
        </w:rPr>
        <w:t xml:space="preserve">cutting edge </w:t>
      </w:r>
      <w:r w:rsidR="00F40E64" w:rsidRPr="00411CFF">
        <w:rPr>
          <w:rFonts w:ascii="Times New Roman" w:hAnsi="Times New Roman"/>
          <w:color w:val="000000"/>
          <w:sz w:val="24"/>
        </w:rPr>
        <w:t>educational products</w:t>
      </w:r>
      <w:r w:rsidR="00990041" w:rsidRPr="00411CFF">
        <w:rPr>
          <w:rFonts w:ascii="Times New Roman" w:hAnsi="Times New Roman"/>
          <w:color w:val="000000"/>
          <w:sz w:val="24"/>
        </w:rPr>
        <w:t xml:space="preserve">. </w:t>
      </w:r>
      <w:r w:rsidR="003360C6">
        <w:rPr>
          <w:rFonts w:ascii="Times New Roman" w:hAnsi="Times New Roman"/>
          <w:color w:val="000000"/>
          <w:sz w:val="24"/>
        </w:rPr>
        <w:t>I</w:t>
      </w:r>
      <w:r w:rsidR="00990041" w:rsidRPr="00411CFF">
        <w:rPr>
          <w:rFonts w:ascii="Times New Roman" w:hAnsi="Times New Roman"/>
          <w:color w:val="000000"/>
          <w:sz w:val="24"/>
        </w:rPr>
        <w:t xml:space="preserve">n </w:t>
      </w:r>
      <w:r w:rsidR="00F40E64" w:rsidRPr="00411CFF">
        <w:rPr>
          <w:rFonts w:ascii="Times New Roman" w:hAnsi="Times New Roman"/>
          <w:color w:val="000000"/>
          <w:sz w:val="24"/>
        </w:rPr>
        <w:t xml:space="preserve">2016, HSE </w:t>
      </w:r>
      <w:r w:rsidR="003360C6">
        <w:rPr>
          <w:rFonts w:ascii="Times New Roman" w:hAnsi="Times New Roman"/>
          <w:color w:val="000000"/>
          <w:sz w:val="24"/>
        </w:rPr>
        <w:t xml:space="preserve">was </w:t>
      </w:r>
      <w:r w:rsidR="00F40E64" w:rsidRPr="00411CFF">
        <w:rPr>
          <w:rFonts w:ascii="Times New Roman" w:hAnsi="Times New Roman"/>
          <w:color w:val="000000"/>
          <w:sz w:val="24"/>
        </w:rPr>
        <w:t xml:space="preserve">ranked among </w:t>
      </w:r>
      <w:r w:rsidRPr="00411CFF">
        <w:rPr>
          <w:rFonts w:ascii="Times New Roman" w:hAnsi="Times New Roman"/>
          <w:color w:val="000000"/>
          <w:sz w:val="24"/>
        </w:rPr>
        <w:t>the Top-</w:t>
      </w:r>
      <w:r w:rsidR="00F40E64" w:rsidRPr="00411CFF">
        <w:rPr>
          <w:rFonts w:ascii="Times New Roman" w:hAnsi="Times New Roman"/>
          <w:color w:val="000000"/>
          <w:sz w:val="24"/>
        </w:rPr>
        <w:t xml:space="preserve">10 </w:t>
      </w:r>
      <w:r w:rsidR="00FB0357" w:rsidRPr="00411CFF">
        <w:rPr>
          <w:rFonts w:ascii="Times New Roman" w:hAnsi="Times New Roman"/>
          <w:color w:val="000000"/>
          <w:sz w:val="24"/>
        </w:rPr>
        <w:t xml:space="preserve">international </w:t>
      </w:r>
      <w:r w:rsidR="00F40E64" w:rsidRPr="00411CFF">
        <w:rPr>
          <w:rFonts w:ascii="Times New Roman" w:hAnsi="Times New Roman"/>
          <w:color w:val="000000"/>
          <w:sz w:val="24"/>
        </w:rPr>
        <w:t xml:space="preserve">universities by the number of online courses delivered </w:t>
      </w:r>
      <w:r w:rsidR="0049691A" w:rsidRPr="00411CFF">
        <w:rPr>
          <w:rFonts w:ascii="Times New Roman" w:hAnsi="Times New Roman"/>
          <w:color w:val="000000"/>
          <w:sz w:val="24"/>
        </w:rPr>
        <w:t xml:space="preserve">through </w:t>
      </w:r>
      <w:r w:rsidR="00F40E64" w:rsidRPr="00411CFF">
        <w:rPr>
          <w:rFonts w:ascii="Times New Roman" w:hAnsi="Times New Roman"/>
          <w:color w:val="000000"/>
          <w:sz w:val="24"/>
        </w:rPr>
        <w:t xml:space="preserve">Coursera platform. HSE has launched 53 courses on Coursera, </w:t>
      </w:r>
      <w:r w:rsidRPr="00411CFF">
        <w:rPr>
          <w:rFonts w:ascii="Times New Roman" w:hAnsi="Times New Roman"/>
          <w:color w:val="000000"/>
          <w:sz w:val="24"/>
        </w:rPr>
        <w:t xml:space="preserve">20 </w:t>
      </w:r>
      <w:r w:rsidR="00F40E64" w:rsidRPr="00411CFF">
        <w:rPr>
          <w:rFonts w:ascii="Times New Roman" w:hAnsi="Times New Roman"/>
          <w:color w:val="000000"/>
          <w:sz w:val="24"/>
        </w:rPr>
        <w:t xml:space="preserve">of which are delivered in English. In total, </w:t>
      </w:r>
      <w:r w:rsidR="00CC74F0" w:rsidRPr="00CC74F0">
        <w:rPr>
          <w:rFonts w:ascii="Times New Roman" w:hAnsi="Times New Roman"/>
          <w:color w:val="000000"/>
          <w:sz w:val="24"/>
          <w:lang w:val="en-US"/>
        </w:rPr>
        <w:t>930</w:t>
      </w:r>
      <w:r w:rsidR="00F40E64" w:rsidRPr="00411CFF">
        <w:rPr>
          <w:rFonts w:ascii="Times New Roman" w:hAnsi="Times New Roman"/>
          <w:color w:val="000000"/>
          <w:sz w:val="24"/>
        </w:rPr>
        <w:t xml:space="preserve">,000 learners from 195 countries </w:t>
      </w:r>
      <w:r w:rsidRPr="00411CFF">
        <w:rPr>
          <w:rFonts w:ascii="Times New Roman" w:hAnsi="Times New Roman"/>
          <w:color w:val="000000"/>
          <w:sz w:val="24"/>
        </w:rPr>
        <w:t xml:space="preserve">have </w:t>
      </w:r>
      <w:r w:rsidR="0085209C">
        <w:rPr>
          <w:rFonts w:ascii="Times New Roman" w:hAnsi="Times New Roman"/>
          <w:color w:val="000000"/>
          <w:sz w:val="24"/>
        </w:rPr>
        <w:t>sign</w:t>
      </w:r>
      <w:r w:rsidR="0085209C" w:rsidRPr="00D301E4">
        <w:rPr>
          <w:rFonts w:ascii="Times New Roman" w:hAnsi="Times New Roman"/>
          <w:color w:val="000000"/>
          <w:sz w:val="24"/>
        </w:rPr>
        <w:t xml:space="preserve">ed </w:t>
      </w:r>
      <w:r w:rsidR="0085209C">
        <w:rPr>
          <w:rFonts w:ascii="Times New Roman" w:hAnsi="Times New Roman"/>
          <w:color w:val="000000"/>
          <w:sz w:val="24"/>
        </w:rPr>
        <w:t xml:space="preserve">up </w:t>
      </w:r>
      <w:r w:rsidR="00F40E64" w:rsidRPr="00D301E4">
        <w:rPr>
          <w:rFonts w:ascii="Times New Roman" w:hAnsi="Times New Roman"/>
          <w:color w:val="000000"/>
          <w:sz w:val="24"/>
        </w:rPr>
        <w:t>for HSE courses</w:t>
      </w:r>
      <w:r w:rsidR="0085209C">
        <w:rPr>
          <w:rFonts w:ascii="Times New Roman" w:hAnsi="Times New Roman"/>
          <w:color w:val="000000"/>
          <w:sz w:val="24"/>
        </w:rPr>
        <w:t>, and</w:t>
      </w:r>
      <w:r w:rsidR="00F40E64" w:rsidRPr="00D301E4">
        <w:rPr>
          <w:rFonts w:ascii="Times New Roman" w:hAnsi="Times New Roman"/>
          <w:color w:val="000000"/>
          <w:sz w:val="24"/>
        </w:rPr>
        <w:t xml:space="preserve"> </w:t>
      </w:r>
      <w:r w:rsidR="00F40E64" w:rsidRPr="00411CFF">
        <w:rPr>
          <w:rFonts w:ascii="Times New Roman" w:hAnsi="Times New Roman"/>
          <w:color w:val="000000"/>
          <w:sz w:val="24"/>
        </w:rPr>
        <w:t xml:space="preserve">27,837 learners have already completed HSE courses. </w:t>
      </w:r>
    </w:p>
    <w:p w14:paraId="7584B32B" w14:textId="2359D5C8" w:rsidR="005A4329" w:rsidRDefault="00F40E64" w:rsidP="0051131B">
      <w:pPr>
        <w:spacing w:after="0"/>
        <w:ind w:firstLine="709"/>
        <w:jc w:val="both"/>
        <w:rPr>
          <w:rFonts w:ascii="Times New Roman" w:hAnsi="Times New Roman"/>
          <w:color w:val="000000"/>
          <w:sz w:val="24"/>
        </w:rPr>
      </w:pPr>
      <w:r w:rsidRPr="00411CFF">
        <w:rPr>
          <w:rFonts w:ascii="Times New Roman" w:hAnsi="Times New Roman"/>
          <w:color w:val="000000"/>
          <w:sz w:val="24"/>
        </w:rPr>
        <w:t>A new major</w:t>
      </w:r>
      <w:r w:rsidR="00B97587" w:rsidRPr="00411CFF">
        <w:rPr>
          <w:rFonts w:ascii="Times New Roman" w:hAnsi="Times New Roman"/>
          <w:color w:val="000000"/>
          <w:sz w:val="24"/>
        </w:rPr>
        <w:t>/</w:t>
      </w:r>
      <w:r w:rsidRPr="00411CFF">
        <w:rPr>
          <w:rFonts w:ascii="Times New Roman" w:hAnsi="Times New Roman"/>
          <w:color w:val="000000"/>
          <w:sz w:val="24"/>
        </w:rPr>
        <w:t xml:space="preserve">minor model </w:t>
      </w:r>
      <w:r w:rsidR="00483B9C" w:rsidRPr="00411CFF">
        <w:rPr>
          <w:rFonts w:ascii="Times New Roman" w:hAnsi="Times New Roman"/>
          <w:color w:val="000000"/>
          <w:sz w:val="24"/>
        </w:rPr>
        <w:t>for</w:t>
      </w:r>
      <w:r w:rsidRPr="00411CFF">
        <w:rPr>
          <w:rFonts w:ascii="Times New Roman" w:hAnsi="Times New Roman"/>
          <w:color w:val="000000"/>
          <w:sz w:val="24"/>
        </w:rPr>
        <w:t xml:space="preserve"> undergraduate programmes </w:t>
      </w:r>
      <w:r w:rsidR="00483B9C" w:rsidRPr="00411CFF">
        <w:rPr>
          <w:rFonts w:ascii="Times New Roman" w:hAnsi="Times New Roman"/>
          <w:color w:val="000000"/>
          <w:sz w:val="24"/>
        </w:rPr>
        <w:t xml:space="preserve">continued </w:t>
      </w:r>
      <w:r w:rsidRPr="00411CFF">
        <w:rPr>
          <w:rFonts w:ascii="Times New Roman" w:hAnsi="Times New Roman"/>
          <w:color w:val="000000"/>
          <w:sz w:val="24"/>
        </w:rPr>
        <w:t>in 2016/2017. In addition to</w:t>
      </w:r>
      <w:r w:rsidR="00E5400C">
        <w:rPr>
          <w:rFonts w:ascii="Times New Roman" w:hAnsi="Times New Roman"/>
          <w:color w:val="000000"/>
          <w:sz w:val="24"/>
        </w:rPr>
        <w:t xml:space="preserve"> major</w:t>
      </w:r>
      <w:r w:rsidRPr="00411CFF">
        <w:rPr>
          <w:rFonts w:ascii="Times New Roman" w:hAnsi="Times New Roman"/>
          <w:color w:val="000000"/>
          <w:sz w:val="24"/>
        </w:rPr>
        <w:t xml:space="preserve">, each undergraduate student </w:t>
      </w:r>
      <w:r w:rsidR="00922953">
        <w:rPr>
          <w:rFonts w:ascii="Times New Roman" w:hAnsi="Times New Roman"/>
          <w:color w:val="000000"/>
          <w:sz w:val="24"/>
          <w:lang w:val="en-US"/>
        </w:rPr>
        <w:t>has</w:t>
      </w:r>
      <w:r w:rsidRPr="00411CFF">
        <w:rPr>
          <w:rFonts w:ascii="Times New Roman" w:hAnsi="Times New Roman"/>
          <w:color w:val="000000"/>
          <w:sz w:val="24"/>
        </w:rPr>
        <w:t xml:space="preserve"> to choose a minor – a block </w:t>
      </w:r>
      <w:r w:rsidR="002D08EC" w:rsidRPr="00411CFF">
        <w:rPr>
          <w:rFonts w:ascii="Times New Roman" w:hAnsi="Times New Roman"/>
          <w:color w:val="000000"/>
          <w:sz w:val="24"/>
        </w:rPr>
        <w:t>comprised of four</w:t>
      </w:r>
      <w:r w:rsidRPr="00411CFF">
        <w:rPr>
          <w:rFonts w:ascii="Times New Roman" w:hAnsi="Times New Roman"/>
          <w:color w:val="000000"/>
          <w:sz w:val="24"/>
        </w:rPr>
        <w:t xml:space="preserve"> courses in the same field. In 2016/17, students were offered 36 minors. </w:t>
      </w:r>
      <w:r w:rsidR="00E5400C">
        <w:rPr>
          <w:rFonts w:ascii="Times New Roman" w:hAnsi="Times New Roman"/>
          <w:color w:val="000000"/>
          <w:sz w:val="24"/>
        </w:rPr>
        <w:t>U</w:t>
      </w:r>
      <w:r w:rsidR="00E5400C" w:rsidRPr="00411CFF">
        <w:rPr>
          <w:rFonts w:ascii="Times New Roman" w:hAnsi="Times New Roman"/>
          <w:color w:val="000000"/>
          <w:sz w:val="24"/>
        </w:rPr>
        <w:t xml:space="preserve">ndergraduate programmes </w:t>
      </w:r>
      <w:r w:rsidR="00E5400C">
        <w:rPr>
          <w:rFonts w:ascii="Times New Roman" w:hAnsi="Times New Roman"/>
          <w:color w:val="000000"/>
          <w:sz w:val="24"/>
        </w:rPr>
        <w:t>also include</w:t>
      </w:r>
      <w:r w:rsidR="002D08EC" w:rsidRPr="00411CFF">
        <w:rPr>
          <w:rFonts w:ascii="Times New Roman" w:hAnsi="Times New Roman"/>
          <w:color w:val="000000"/>
          <w:sz w:val="24"/>
        </w:rPr>
        <w:t xml:space="preserve"> </w:t>
      </w:r>
      <w:r w:rsidR="005A4329">
        <w:rPr>
          <w:rFonts w:ascii="Times New Roman" w:hAnsi="Times New Roman"/>
          <w:color w:val="000000"/>
          <w:sz w:val="24"/>
        </w:rPr>
        <w:t xml:space="preserve">a </w:t>
      </w:r>
      <w:r w:rsidR="002D08EC" w:rsidRPr="00411CFF">
        <w:rPr>
          <w:rFonts w:ascii="Times New Roman" w:hAnsi="Times New Roman"/>
          <w:color w:val="000000"/>
          <w:sz w:val="24"/>
        </w:rPr>
        <w:t>p</w:t>
      </w:r>
      <w:r w:rsidRPr="00411CFF">
        <w:rPr>
          <w:rFonts w:ascii="Times New Roman" w:hAnsi="Times New Roman"/>
          <w:color w:val="000000"/>
          <w:sz w:val="24"/>
        </w:rPr>
        <w:t xml:space="preserve">roject </w:t>
      </w:r>
      <w:r w:rsidR="00E5400C">
        <w:rPr>
          <w:rFonts w:ascii="Times New Roman" w:hAnsi="Times New Roman"/>
          <w:color w:val="000000"/>
          <w:sz w:val="24"/>
        </w:rPr>
        <w:t>component</w:t>
      </w:r>
      <w:r w:rsidR="005A4329">
        <w:rPr>
          <w:rFonts w:ascii="Times New Roman" w:hAnsi="Times New Roman"/>
          <w:color w:val="000000"/>
          <w:sz w:val="24"/>
        </w:rPr>
        <w:t>: a</w:t>
      </w:r>
      <w:r w:rsidRPr="00411CFF">
        <w:rPr>
          <w:rFonts w:ascii="Times New Roman" w:hAnsi="Times New Roman"/>
          <w:color w:val="000000"/>
          <w:sz w:val="24"/>
        </w:rPr>
        <w:t>n electronic “Projects Fair” was</w:t>
      </w:r>
      <w:r w:rsidR="00C625A6" w:rsidRPr="00411CFF">
        <w:rPr>
          <w:rFonts w:ascii="Times New Roman" w:hAnsi="Times New Roman"/>
          <w:color w:val="000000"/>
          <w:sz w:val="24"/>
        </w:rPr>
        <w:t xml:space="preserve"> </w:t>
      </w:r>
      <w:r w:rsidRPr="00411CFF">
        <w:rPr>
          <w:rFonts w:ascii="Times New Roman" w:hAnsi="Times New Roman"/>
          <w:color w:val="000000"/>
          <w:sz w:val="24"/>
        </w:rPr>
        <w:t>created</w:t>
      </w:r>
      <w:r w:rsidR="00E5400C">
        <w:rPr>
          <w:rFonts w:ascii="Times New Roman" w:hAnsi="Times New Roman"/>
          <w:color w:val="000000"/>
          <w:sz w:val="24"/>
        </w:rPr>
        <w:t xml:space="preserve"> to allow potential</w:t>
      </w:r>
      <w:r w:rsidRPr="00411CFF">
        <w:rPr>
          <w:rFonts w:ascii="Times New Roman" w:hAnsi="Times New Roman"/>
          <w:color w:val="000000"/>
          <w:sz w:val="24"/>
        </w:rPr>
        <w:t xml:space="preserve"> clients propose </w:t>
      </w:r>
      <w:r w:rsidR="00E5400C">
        <w:rPr>
          <w:rFonts w:ascii="Times New Roman" w:hAnsi="Times New Roman"/>
          <w:color w:val="000000"/>
          <w:sz w:val="24"/>
        </w:rPr>
        <w:t xml:space="preserve">a variety of </w:t>
      </w:r>
      <w:r w:rsidRPr="00411CFF">
        <w:rPr>
          <w:rFonts w:ascii="Times New Roman" w:hAnsi="Times New Roman"/>
          <w:color w:val="000000"/>
          <w:sz w:val="24"/>
        </w:rPr>
        <w:t xml:space="preserve">projects, place offers and </w:t>
      </w:r>
      <w:r w:rsidR="00E5400C">
        <w:rPr>
          <w:rFonts w:ascii="Times New Roman" w:hAnsi="Times New Roman"/>
          <w:color w:val="000000"/>
          <w:sz w:val="24"/>
        </w:rPr>
        <w:t xml:space="preserve">job </w:t>
      </w:r>
      <w:r w:rsidRPr="00411CFF">
        <w:rPr>
          <w:rFonts w:ascii="Times New Roman" w:hAnsi="Times New Roman"/>
          <w:color w:val="000000"/>
          <w:sz w:val="24"/>
        </w:rPr>
        <w:t xml:space="preserve">vacancies for students. In 2016, </w:t>
      </w:r>
      <w:r w:rsidR="00B61F14" w:rsidRPr="00411CFF">
        <w:rPr>
          <w:rFonts w:ascii="Times New Roman" w:hAnsi="Times New Roman"/>
          <w:color w:val="000000"/>
          <w:sz w:val="24"/>
        </w:rPr>
        <w:t xml:space="preserve">a total of </w:t>
      </w:r>
      <w:r w:rsidR="00662A4F" w:rsidRPr="00411CFF">
        <w:rPr>
          <w:rFonts w:ascii="Times New Roman" w:hAnsi="Times New Roman"/>
          <w:color w:val="000000"/>
          <w:sz w:val="24"/>
        </w:rPr>
        <w:t>7,712</w:t>
      </w:r>
      <w:r w:rsidR="00D12056" w:rsidRPr="00411CFF">
        <w:rPr>
          <w:rFonts w:ascii="Times New Roman" w:hAnsi="Times New Roman"/>
          <w:color w:val="000000"/>
          <w:sz w:val="24"/>
        </w:rPr>
        <w:t xml:space="preserve"> students</w:t>
      </w:r>
      <w:r w:rsidR="00662A4F" w:rsidRPr="00411CFF">
        <w:rPr>
          <w:rFonts w:ascii="Times New Roman" w:hAnsi="Times New Roman"/>
          <w:color w:val="000000"/>
          <w:sz w:val="24"/>
        </w:rPr>
        <w:t xml:space="preserve"> </w:t>
      </w:r>
      <w:r w:rsidRPr="00411CFF">
        <w:rPr>
          <w:rFonts w:ascii="Times New Roman" w:hAnsi="Times New Roman"/>
          <w:color w:val="000000"/>
          <w:sz w:val="24"/>
        </w:rPr>
        <w:t xml:space="preserve">applied for participation in </w:t>
      </w:r>
      <w:r w:rsidR="00064E2D">
        <w:rPr>
          <w:rFonts w:ascii="Times New Roman" w:hAnsi="Times New Roman"/>
          <w:color w:val="000000"/>
          <w:sz w:val="24"/>
        </w:rPr>
        <w:t xml:space="preserve">the </w:t>
      </w:r>
      <w:r w:rsidRPr="00411CFF">
        <w:rPr>
          <w:rFonts w:ascii="Times New Roman" w:hAnsi="Times New Roman"/>
          <w:color w:val="000000"/>
          <w:sz w:val="24"/>
        </w:rPr>
        <w:t xml:space="preserve">projects, </w:t>
      </w:r>
      <w:r w:rsidR="00D12056" w:rsidRPr="00411CFF">
        <w:rPr>
          <w:rFonts w:ascii="Times New Roman" w:hAnsi="Times New Roman"/>
          <w:color w:val="000000"/>
          <w:sz w:val="24"/>
        </w:rPr>
        <w:t xml:space="preserve">while </w:t>
      </w:r>
      <w:r w:rsidRPr="00411CFF">
        <w:rPr>
          <w:rFonts w:ascii="Times New Roman" w:hAnsi="Times New Roman"/>
          <w:color w:val="000000"/>
          <w:sz w:val="24"/>
        </w:rPr>
        <w:t xml:space="preserve">50% of students added projects </w:t>
      </w:r>
      <w:r w:rsidR="00D12056" w:rsidRPr="00411CFF">
        <w:rPr>
          <w:rFonts w:ascii="Times New Roman" w:hAnsi="Times New Roman"/>
          <w:color w:val="000000"/>
          <w:sz w:val="24"/>
        </w:rPr>
        <w:t>to their</w:t>
      </w:r>
      <w:r w:rsidRPr="00411CFF">
        <w:rPr>
          <w:rFonts w:ascii="Times New Roman" w:hAnsi="Times New Roman"/>
          <w:color w:val="000000"/>
          <w:sz w:val="24"/>
        </w:rPr>
        <w:t xml:space="preserve"> individual </w:t>
      </w:r>
      <w:r w:rsidR="00D12056" w:rsidRPr="00411CFF">
        <w:rPr>
          <w:rFonts w:ascii="Times New Roman" w:hAnsi="Times New Roman"/>
          <w:color w:val="000000"/>
          <w:sz w:val="24"/>
        </w:rPr>
        <w:t>curricula</w:t>
      </w:r>
      <w:r w:rsidRPr="00411CFF">
        <w:rPr>
          <w:rFonts w:ascii="Times New Roman" w:hAnsi="Times New Roman"/>
          <w:color w:val="000000"/>
          <w:sz w:val="24"/>
        </w:rPr>
        <w:t xml:space="preserve">. </w:t>
      </w:r>
    </w:p>
    <w:p w14:paraId="50E3A7F0" w14:textId="09A00CC8" w:rsidR="00F40E64" w:rsidRPr="00411CFF" w:rsidRDefault="00F40E64" w:rsidP="0051131B">
      <w:pPr>
        <w:spacing w:after="0"/>
        <w:ind w:firstLine="709"/>
        <w:jc w:val="both"/>
        <w:rPr>
          <w:rFonts w:ascii="Times New Roman" w:hAnsi="Times New Roman"/>
          <w:color w:val="000000"/>
          <w:sz w:val="24"/>
        </w:rPr>
      </w:pPr>
      <w:r w:rsidRPr="00411CFF">
        <w:rPr>
          <w:rFonts w:ascii="Times New Roman" w:hAnsi="Times New Roman"/>
          <w:color w:val="000000"/>
          <w:sz w:val="24"/>
        </w:rPr>
        <w:t xml:space="preserve">To promote personalized learning at the Master’s level, the </w:t>
      </w:r>
      <w:proofErr w:type="spellStart"/>
      <w:r w:rsidRPr="00411CFF">
        <w:rPr>
          <w:rFonts w:ascii="Times New Roman" w:hAnsi="Times New Roman"/>
          <w:color w:val="000000"/>
          <w:sz w:val="24"/>
        </w:rPr>
        <w:t>Magolego</w:t>
      </w:r>
      <w:proofErr w:type="spellEnd"/>
      <w:r w:rsidRPr="00411CFF">
        <w:rPr>
          <w:rFonts w:ascii="Times New Roman" w:hAnsi="Times New Roman"/>
          <w:color w:val="000000"/>
          <w:sz w:val="24"/>
        </w:rPr>
        <w:t xml:space="preserve"> </w:t>
      </w:r>
      <w:r w:rsidR="00501231" w:rsidRPr="00411CFF">
        <w:rPr>
          <w:rFonts w:ascii="Times New Roman" w:hAnsi="Times New Roman"/>
          <w:color w:val="000000"/>
          <w:sz w:val="24"/>
        </w:rPr>
        <w:t xml:space="preserve">Programme </w:t>
      </w:r>
      <w:r w:rsidRPr="00411CFF">
        <w:rPr>
          <w:rFonts w:ascii="Times New Roman" w:hAnsi="Times New Roman"/>
          <w:color w:val="000000"/>
          <w:sz w:val="24"/>
        </w:rPr>
        <w:t>was introduced</w:t>
      </w:r>
      <w:r w:rsidR="00064E2D">
        <w:rPr>
          <w:rFonts w:ascii="Times New Roman" w:hAnsi="Times New Roman"/>
          <w:color w:val="000000"/>
          <w:sz w:val="24"/>
        </w:rPr>
        <w:t>.  The program allows s</w:t>
      </w:r>
      <w:r w:rsidRPr="00411CFF">
        <w:rPr>
          <w:rFonts w:ascii="Times New Roman" w:hAnsi="Times New Roman"/>
          <w:color w:val="000000"/>
          <w:sz w:val="24"/>
        </w:rPr>
        <w:t xml:space="preserve">tudents select additional courses from a pool of university-wide courses. </w:t>
      </w:r>
      <w:proofErr w:type="spellStart"/>
      <w:r w:rsidRPr="00411CFF">
        <w:rPr>
          <w:rFonts w:ascii="Times New Roman" w:hAnsi="Times New Roman"/>
          <w:color w:val="000000"/>
          <w:sz w:val="24"/>
        </w:rPr>
        <w:t>Magolego</w:t>
      </w:r>
      <w:proofErr w:type="spellEnd"/>
      <w:r w:rsidRPr="00411CFF">
        <w:rPr>
          <w:rFonts w:ascii="Times New Roman" w:hAnsi="Times New Roman"/>
          <w:color w:val="000000"/>
          <w:sz w:val="24"/>
        </w:rPr>
        <w:t xml:space="preserve"> courses are included in the elective component of </w:t>
      </w:r>
      <w:r w:rsidR="00064E2D">
        <w:rPr>
          <w:rFonts w:ascii="Times New Roman" w:hAnsi="Times New Roman"/>
          <w:color w:val="000000"/>
          <w:sz w:val="24"/>
        </w:rPr>
        <w:t xml:space="preserve">the </w:t>
      </w:r>
      <w:r w:rsidR="002D58A8" w:rsidRPr="00411CFF">
        <w:rPr>
          <w:rFonts w:ascii="Times New Roman" w:hAnsi="Times New Roman"/>
          <w:color w:val="000000"/>
          <w:sz w:val="24"/>
        </w:rPr>
        <w:t xml:space="preserve">programmes </w:t>
      </w:r>
      <w:r w:rsidRPr="00411CFF">
        <w:rPr>
          <w:rFonts w:ascii="Times New Roman" w:hAnsi="Times New Roman"/>
          <w:color w:val="000000"/>
          <w:sz w:val="24"/>
        </w:rPr>
        <w:t xml:space="preserve">and </w:t>
      </w:r>
      <w:r w:rsidR="002D58A8" w:rsidRPr="00411CFF">
        <w:rPr>
          <w:rFonts w:ascii="Times New Roman" w:hAnsi="Times New Roman"/>
          <w:color w:val="000000"/>
          <w:sz w:val="24"/>
        </w:rPr>
        <w:t xml:space="preserve">are </w:t>
      </w:r>
      <w:r w:rsidRPr="00411CFF">
        <w:rPr>
          <w:rFonts w:ascii="Times New Roman" w:hAnsi="Times New Roman"/>
          <w:color w:val="000000"/>
          <w:sz w:val="24"/>
        </w:rPr>
        <w:t xml:space="preserve">studied </w:t>
      </w:r>
      <w:r w:rsidR="002D58A8" w:rsidRPr="00411CFF">
        <w:rPr>
          <w:rFonts w:ascii="Times New Roman" w:hAnsi="Times New Roman"/>
          <w:color w:val="000000"/>
          <w:sz w:val="24"/>
        </w:rPr>
        <w:t>during the first year of a student’s</w:t>
      </w:r>
      <w:r w:rsidRPr="00411CFF">
        <w:rPr>
          <w:rFonts w:ascii="Times New Roman" w:hAnsi="Times New Roman"/>
          <w:color w:val="000000"/>
          <w:sz w:val="24"/>
        </w:rPr>
        <w:t xml:space="preserve"> Master’s programme. </w:t>
      </w:r>
      <w:r w:rsidR="00BF1121" w:rsidRPr="00411CFF">
        <w:rPr>
          <w:rFonts w:ascii="Times New Roman" w:hAnsi="Times New Roman"/>
          <w:color w:val="000000"/>
          <w:sz w:val="24"/>
        </w:rPr>
        <w:t>A total of 72</w:t>
      </w:r>
      <w:r w:rsidRPr="00411CFF">
        <w:rPr>
          <w:rFonts w:ascii="Times New Roman" w:hAnsi="Times New Roman"/>
          <w:color w:val="000000"/>
          <w:sz w:val="24"/>
        </w:rPr>
        <w:t xml:space="preserve"> </w:t>
      </w:r>
      <w:proofErr w:type="spellStart"/>
      <w:r w:rsidRPr="00411CFF">
        <w:rPr>
          <w:rFonts w:ascii="Times New Roman" w:hAnsi="Times New Roman"/>
          <w:color w:val="000000"/>
          <w:sz w:val="24"/>
        </w:rPr>
        <w:t>Magolego</w:t>
      </w:r>
      <w:proofErr w:type="spellEnd"/>
      <w:r w:rsidRPr="00411CFF">
        <w:rPr>
          <w:rFonts w:ascii="Times New Roman" w:hAnsi="Times New Roman"/>
          <w:color w:val="000000"/>
          <w:sz w:val="24"/>
        </w:rPr>
        <w:t xml:space="preserve"> courses were offered to students in 2016/17.</w:t>
      </w:r>
    </w:p>
    <w:p w14:paraId="48AE8EC2" w14:textId="4D44EAF5" w:rsidR="00F40E64" w:rsidRPr="00411CFF" w:rsidRDefault="00064E2D" w:rsidP="0051131B">
      <w:pPr>
        <w:spacing w:after="0"/>
        <w:ind w:firstLine="709"/>
        <w:jc w:val="both"/>
        <w:rPr>
          <w:rFonts w:ascii="Times New Roman" w:hAnsi="Times New Roman"/>
          <w:color w:val="000000"/>
          <w:sz w:val="24"/>
          <w:szCs w:val="24"/>
        </w:rPr>
      </w:pPr>
      <w:r>
        <w:rPr>
          <w:rFonts w:ascii="Times New Roman" w:hAnsi="Times New Roman"/>
          <w:color w:val="000000"/>
          <w:sz w:val="24"/>
        </w:rPr>
        <w:t>In 2016, HSE was educating</w:t>
      </w:r>
      <w:r w:rsidR="002D58A8" w:rsidRPr="00411CFF">
        <w:rPr>
          <w:rFonts w:ascii="Times New Roman" w:hAnsi="Times New Roman"/>
          <w:color w:val="000000"/>
          <w:sz w:val="24"/>
        </w:rPr>
        <w:t xml:space="preserve"> 711 </w:t>
      </w:r>
      <w:r w:rsidR="00F40E64" w:rsidRPr="00411CFF">
        <w:rPr>
          <w:rFonts w:ascii="Times New Roman" w:hAnsi="Times New Roman"/>
          <w:color w:val="000000"/>
          <w:sz w:val="24"/>
        </w:rPr>
        <w:t xml:space="preserve">doctoral students </w:t>
      </w:r>
      <w:r w:rsidR="005A4329">
        <w:rPr>
          <w:rFonts w:ascii="Times New Roman" w:hAnsi="Times New Roman"/>
          <w:color w:val="000000"/>
          <w:sz w:val="24"/>
        </w:rPr>
        <w:t>at</w:t>
      </w:r>
      <w:r w:rsidR="00F40E64" w:rsidRPr="00411CFF">
        <w:rPr>
          <w:rFonts w:ascii="Times New Roman" w:hAnsi="Times New Roman"/>
          <w:color w:val="000000"/>
          <w:sz w:val="24"/>
        </w:rPr>
        <w:t xml:space="preserve"> 14 </w:t>
      </w:r>
      <w:r w:rsidR="00B278A9">
        <w:rPr>
          <w:rFonts w:ascii="Times New Roman" w:hAnsi="Times New Roman"/>
          <w:color w:val="000000"/>
          <w:sz w:val="24"/>
        </w:rPr>
        <w:t>doctoral</w:t>
      </w:r>
      <w:r w:rsidR="00F40E64" w:rsidRPr="00D301E4">
        <w:rPr>
          <w:rFonts w:ascii="Times New Roman" w:hAnsi="Times New Roman"/>
          <w:color w:val="000000"/>
          <w:sz w:val="24"/>
        </w:rPr>
        <w:t xml:space="preserve"> schools</w:t>
      </w:r>
      <w:r w:rsidR="00742B83" w:rsidRPr="00411CFF">
        <w:rPr>
          <w:rFonts w:ascii="Times New Roman" w:hAnsi="Times New Roman"/>
          <w:color w:val="000000"/>
          <w:sz w:val="24"/>
        </w:rPr>
        <w:t xml:space="preserve">. Also, </w:t>
      </w:r>
      <w:r w:rsidR="00F40E64" w:rsidRPr="00411CFF">
        <w:rPr>
          <w:rFonts w:ascii="Times New Roman" w:hAnsi="Times New Roman"/>
          <w:color w:val="000000"/>
          <w:sz w:val="24"/>
        </w:rPr>
        <w:t xml:space="preserve">two new </w:t>
      </w:r>
      <w:r w:rsidR="009421E3" w:rsidRPr="00411CFF">
        <w:rPr>
          <w:rFonts w:ascii="Times New Roman" w:hAnsi="Times New Roman"/>
          <w:color w:val="000000"/>
          <w:sz w:val="24"/>
        </w:rPr>
        <w:t>Schools</w:t>
      </w:r>
      <w:r>
        <w:rPr>
          <w:rFonts w:ascii="Times New Roman" w:hAnsi="Times New Roman"/>
          <w:color w:val="000000"/>
          <w:sz w:val="24"/>
        </w:rPr>
        <w:t>,</w:t>
      </w:r>
      <w:r w:rsidR="00F40E64" w:rsidRPr="00411CFF">
        <w:rPr>
          <w:rFonts w:ascii="Times New Roman" w:hAnsi="Times New Roman"/>
          <w:color w:val="000000"/>
          <w:sz w:val="24"/>
        </w:rPr>
        <w:t xml:space="preserve"> </w:t>
      </w:r>
      <w:r w:rsidR="009421E3" w:rsidRPr="00411CFF">
        <w:rPr>
          <w:rFonts w:ascii="Times New Roman" w:hAnsi="Times New Roman"/>
          <w:color w:val="000000"/>
          <w:sz w:val="24"/>
        </w:rPr>
        <w:t xml:space="preserve">Physics </w:t>
      </w:r>
      <w:r w:rsidR="00F40E64" w:rsidRPr="00411CFF">
        <w:rPr>
          <w:rFonts w:ascii="Times New Roman" w:hAnsi="Times New Roman"/>
          <w:color w:val="000000"/>
          <w:sz w:val="24"/>
        </w:rPr>
        <w:t xml:space="preserve">and </w:t>
      </w:r>
      <w:r w:rsidR="009421E3" w:rsidRPr="00411CFF">
        <w:rPr>
          <w:rFonts w:ascii="Times New Roman" w:hAnsi="Times New Roman"/>
          <w:color w:val="000000"/>
          <w:sz w:val="24"/>
        </w:rPr>
        <w:t xml:space="preserve">Law </w:t>
      </w:r>
      <w:r w:rsidR="00F40E64" w:rsidRPr="006C06DC">
        <w:rPr>
          <w:rFonts w:ascii="Times New Roman" w:hAnsi="Times New Roman"/>
          <w:color w:val="000000"/>
          <w:sz w:val="24"/>
        </w:rPr>
        <w:t>were established</w:t>
      </w:r>
      <w:r w:rsidR="00742B83" w:rsidRPr="006256D0">
        <w:rPr>
          <w:rFonts w:ascii="Times New Roman" w:hAnsi="Times New Roman"/>
          <w:color w:val="000000"/>
          <w:sz w:val="24"/>
        </w:rPr>
        <w:t xml:space="preserve">, </w:t>
      </w:r>
      <w:r>
        <w:rPr>
          <w:rFonts w:ascii="Times New Roman" w:hAnsi="Times New Roman"/>
          <w:color w:val="000000"/>
          <w:sz w:val="24"/>
        </w:rPr>
        <w:t>and</w:t>
      </w:r>
      <w:r w:rsidRPr="006256D0">
        <w:rPr>
          <w:rFonts w:ascii="Times New Roman" w:hAnsi="Times New Roman"/>
          <w:color w:val="000000"/>
          <w:sz w:val="24"/>
        </w:rPr>
        <w:t xml:space="preserve"> </w:t>
      </w:r>
      <w:r w:rsidR="00742B83" w:rsidRPr="006256D0">
        <w:rPr>
          <w:rFonts w:ascii="Times New Roman" w:hAnsi="Times New Roman"/>
          <w:color w:val="000000"/>
          <w:sz w:val="24"/>
        </w:rPr>
        <w:t xml:space="preserve">an </w:t>
      </w:r>
      <w:r w:rsidR="00742B83" w:rsidRPr="00411CFF">
        <w:rPr>
          <w:rFonts w:ascii="Times New Roman" w:hAnsi="Times New Roman"/>
          <w:color w:val="000000"/>
          <w:sz w:val="24"/>
        </w:rPr>
        <w:t>international</w:t>
      </w:r>
      <w:r w:rsidR="00F40E64" w:rsidRPr="00411CFF">
        <w:rPr>
          <w:rFonts w:ascii="Times New Roman" w:hAnsi="Times New Roman"/>
          <w:color w:val="000000"/>
          <w:sz w:val="24"/>
        </w:rPr>
        <w:t xml:space="preserve"> doctoral admission procedure was </w:t>
      </w:r>
      <w:r w:rsidR="005C6480" w:rsidRPr="00411CFF">
        <w:rPr>
          <w:rFonts w:ascii="Times New Roman" w:hAnsi="Times New Roman"/>
          <w:color w:val="000000"/>
          <w:sz w:val="24"/>
        </w:rPr>
        <w:t>put in place</w:t>
      </w:r>
      <w:r w:rsidR="00F40E64" w:rsidRPr="00411CFF">
        <w:rPr>
          <w:rFonts w:ascii="Times New Roman" w:hAnsi="Times New Roman"/>
          <w:color w:val="000000"/>
          <w:sz w:val="24"/>
        </w:rPr>
        <w:t xml:space="preserve">. </w:t>
      </w:r>
      <w:r w:rsidR="00742B83" w:rsidRPr="00411CFF">
        <w:rPr>
          <w:rFonts w:ascii="Times New Roman" w:hAnsi="Times New Roman"/>
          <w:color w:val="000000"/>
          <w:sz w:val="24"/>
        </w:rPr>
        <w:t xml:space="preserve">The university’s </w:t>
      </w:r>
      <w:r w:rsidR="00F40E64" w:rsidRPr="00411CFF">
        <w:rPr>
          <w:rFonts w:ascii="Times New Roman" w:hAnsi="Times New Roman"/>
          <w:color w:val="000000"/>
          <w:sz w:val="24"/>
        </w:rPr>
        <w:t>full</w:t>
      </w:r>
      <w:r w:rsidR="00B278A9">
        <w:rPr>
          <w:rFonts w:ascii="Times New Roman" w:hAnsi="Times New Roman"/>
          <w:color w:val="000000"/>
          <w:sz w:val="24"/>
        </w:rPr>
        <w:t>-</w:t>
      </w:r>
      <w:r w:rsidR="00F40E64" w:rsidRPr="00411CFF">
        <w:rPr>
          <w:rFonts w:ascii="Times New Roman" w:hAnsi="Times New Roman"/>
          <w:color w:val="000000"/>
          <w:sz w:val="24"/>
        </w:rPr>
        <w:t xml:space="preserve">time </w:t>
      </w:r>
      <w:r w:rsidR="00B278A9">
        <w:rPr>
          <w:rFonts w:ascii="Times New Roman" w:hAnsi="Times New Roman"/>
          <w:color w:val="000000"/>
          <w:sz w:val="24"/>
        </w:rPr>
        <w:t xml:space="preserve">advanced </w:t>
      </w:r>
      <w:r w:rsidR="00F40E64" w:rsidRPr="00D301E4">
        <w:rPr>
          <w:rFonts w:ascii="Times New Roman" w:hAnsi="Times New Roman"/>
          <w:color w:val="000000"/>
          <w:sz w:val="24"/>
        </w:rPr>
        <w:t xml:space="preserve">doctoral programmes, </w:t>
      </w:r>
      <w:r w:rsidR="00742B83" w:rsidRPr="00411CFF">
        <w:rPr>
          <w:rFonts w:ascii="Times New Roman" w:hAnsi="Times New Roman"/>
          <w:color w:val="000000"/>
          <w:sz w:val="24"/>
        </w:rPr>
        <w:t xml:space="preserve">organized </w:t>
      </w:r>
      <w:r w:rsidR="00F40E64" w:rsidRPr="00411CFF">
        <w:rPr>
          <w:rFonts w:ascii="Times New Roman" w:hAnsi="Times New Roman"/>
          <w:color w:val="000000"/>
          <w:sz w:val="24"/>
        </w:rPr>
        <w:t xml:space="preserve">as PhD </w:t>
      </w:r>
      <w:r w:rsidR="00F40E64" w:rsidRPr="00411CFF">
        <w:rPr>
          <w:rFonts w:ascii="Times New Roman" w:hAnsi="Times New Roman"/>
          <w:color w:val="000000"/>
          <w:sz w:val="24"/>
        </w:rPr>
        <w:lastRenderedPageBreak/>
        <w:t xml:space="preserve">programmes, are </w:t>
      </w:r>
      <w:r w:rsidR="00742B83" w:rsidRPr="00411CFF">
        <w:rPr>
          <w:rFonts w:ascii="Times New Roman" w:hAnsi="Times New Roman"/>
          <w:color w:val="000000"/>
          <w:sz w:val="24"/>
        </w:rPr>
        <w:t xml:space="preserve">available in </w:t>
      </w:r>
      <w:r w:rsidR="00F40E64" w:rsidRPr="00411CFF">
        <w:rPr>
          <w:rFonts w:ascii="Times New Roman" w:hAnsi="Times New Roman"/>
          <w:color w:val="000000"/>
          <w:sz w:val="24"/>
        </w:rPr>
        <w:t>13 fields of study</w:t>
      </w:r>
      <w:r w:rsidR="00742B83" w:rsidRPr="00411CFF">
        <w:rPr>
          <w:rFonts w:ascii="Times New Roman" w:hAnsi="Times New Roman"/>
          <w:color w:val="000000"/>
          <w:sz w:val="24"/>
        </w:rPr>
        <w:t xml:space="preserve">. </w:t>
      </w:r>
      <w:r>
        <w:rPr>
          <w:rFonts w:ascii="Times New Roman" w:hAnsi="Times New Roman"/>
          <w:color w:val="000000"/>
          <w:sz w:val="24"/>
        </w:rPr>
        <w:t>I</w:t>
      </w:r>
      <w:r w:rsidRPr="00D301E4">
        <w:rPr>
          <w:rFonts w:ascii="Times New Roman" w:hAnsi="Times New Roman"/>
          <w:color w:val="000000"/>
          <w:sz w:val="24"/>
        </w:rPr>
        <w:t>n 2016</w:t>
      </w:r>
      <w:r>
        <w:rPr>
          <w:rFonts w:ascii="Times New Roman" w:hAnsi="Times New Roman"/>
          <w:color w:val="000000"/>
          <w:sz w:val="24"/>
        </w:rPr>
        <w:t xml:space="preserve">, </w:t>
      </w:r>
      <w:r w:rsidR="00F40E64" w:rsidRPr="00411CFF">
        <w:rPr>
          <w:rFonts w:ascii="Times New Roman" w:hAnsi="Times New Roman"/>
          <w:color w:val="000000"/>
          <w:sz w:val="24"/>
        </w:rPr>
        <w:t xml:space="preserve">120 doctoral students were enrolled </w:t>
      </w:r>
      <w:r w:rsidR="00347EB6" w:rsidRPr="00411CFF">
        <w:rPr>
          <w:rFonts w:ascii="Times New Roman" w:hAnsi="Times New Roman"/>
          <w:color w:val="000000"/>
          <w:sz w:val="24"/>
        </w:rPr>
        <w:t xml:space="preserve">in </w:t>
      </w:r>
      <w:r w:rsidR="00F40E64" w:rsidRPr="00411CFF">
        <w:rPr>
          <w:rFonts w:ascii="Times New Roman" w:hAnsi="Times New Roman"/>
          <w:color w:val="000000"/>
          <w:sz w:val="24"/>
        </w:rPr>
        <w:t>full</w:t>
      </w:r>
      <w:r w:rsidR="00835820" w:rsidRPr="00411CFF">
        <w:rPr>
          <w:rFonts w:ascii="Times New Roman" w:hAnsi="Times New Roman"/>
          <w:color w:val="000000"/>
          <w:sz w:val="24"/>
        </w:rPr>
        <w:t xml:space="preserve"> </w:t>
      </w:r>
      <w:r w:rsidR="00F40E64" w:rsidRPr="00411CFF">
        <w:rPr>
          <w:rFonts w:ascii="Times New Roman" w:hAnsi="Times New Roman"/>
          <w:color w:val="000000"/>
          <w:sz w:val="24"/>
        </w:rPr>
        <w:t xml:space="preserve">time </w:t>
      </w:r>
      <w:r w:rsidR="00B278A9">
        <w:rPr>
          <w:rFonts w:ascii="Times New Roman" w:hAnsi="Times New Roman"/>
          <w:color w:val="000000"/>
          <w:sz w:val="24"/>
        </w:rPr>
        <w:t xml:space="preserve">advanced </w:t>
      </w:r>
      <w:r w:rsidR="00F40E64" w:rsidRPr="00D301E4">
        <w:rPr>
          <w:rFonts w:ascii="Times New Roman" w:hAnsi="Times New Roman"/>
          <w:color w:val="000000"/>
          <w:sz w:val="24"/>
        </w:rPr>
        <w:t>doctoral programmes.</w:t>
      </w:r>
    </w:p>
    <w:p w14:paraId="6BA789E2" w14:textId="232ED0AD" w:rsidR="00F40E64" w:rsidRPr="00411CFF" w:rsidRDefault="00F40E64"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HSE</w:t>
      </w:r>
      <w:r w:rsidR="002F6D29" w:rsidRPr="00411CFF">
        <w:rPr>
          <w:rFonts w:ascii="Times New Roman" w:hAnsi="Times New Roman"/>
          <w:color w:val="000000"/>
          <w:sz w:val="24"/>
        </w:rPr>
        <w:t xml:space="preserve"> continu</w:t>
      </w:r>
      <w:r w:rsidR="005A4329">
        <w:rPr>
          <w:rFonts w:ascii="Times New Roman" w:hAnsi="Times New Roman"/>
          <w:color w:val="000000"/>
          <w:sz w:val="24"/>
        </w:rPr>
        <w:t>es</w:t>
      </w:r>
      <w:r w:rsidR="002F6D29" w:rsidRPr="00411CFF">
        <w:rPr>
          <w:rFonts w:ascii="Times New Roman" w:hAnsi="Times New Roman"/>
          <w:color w:val="000000"/>
          <w:sz w:val="24"/>
        </w:rPr>
        <w:t xml:space="preserve"> </w:t>
      </w:r>
      <w:r w:rsidRPr="00411CFF">
        <w:rPr>
          <w:rFonts w:ascii="Times New Roman" w:hAnsi="Times New Roman"/>
          <w:color w:val="000000"/>
          <w:sz w:val="24"/>
        </w:rPr>
        <w:t>develop</w:t>
      </w:r>
      <w:r w:rsidR="005A4329">
        <w:rPr>
          <w:rFonts w:ascii="Times New Roman" w:hAnsi="Times New Roman"/>
          <w:color w:val="000000"/>
          <w:sz w:val="24"/>
        </w:rPr>
        <w:t>ing</w:t>
      </w:r>
      <w:r w:rsidRPr="00411CFF">
        <w:rPr>
          <w:rFonts w:ascii="Times New Roman" w:hAnsi="Times New Roman"/>
          <w:color w:val="000000"/>
          <w:sz w:val="24"/>
        </w:rPr>
        <w:t xml:space="preserve"> an independent quality assessment system for its </w:t>
      </w:r>
      <w:r w:rsidR="002F6D29" w:rsidRPr="00411CFF">
        <w:rPr>
          <w:rFonts w:ascii="Times New Roman" w:hAnsi="Times New Roman"/>
          <w:color w:val="000000"/>
          <w:sz w:val="24"/>
        </w:rPr>
        <w:t xml:space="preserve">academic </w:t>
      </w:r>
      <w:r w:rsidRPr="00411CFF">
        <w:rPr>
          <w:rFonts w:ascii="Times New Roman" w:hAnsi="Times New Roman"/>
          <w:color w:val="000000"/>
          <w:sz w:val="24"/>
        </w:rPr>
        <w:t>programmes</w:t>
      </w:r>
      <w:r w:rsidR="00064E2D">
        <w:rPr>
          <w:rFonts w:ascii="Times New Roman" w:hAnsi="Times New Roman"/>
          <w:color w:val="000000"/>
          <w:sz w:val="24"/>
        </w:rPr>
        <w:t>.  The system</w:t>
      </w:r>
      <w:r w:rsidRPr="00411CFF">
        <w:rPr>
          <w:rFonts w:ascii="Times New Roman" w:hAnsi="Times New Roman"/>
          <w:color w:val="000000"/>
          <w:sz w:val="24"/>
        </w:rPr>
        <w:t xml:space="preserve"> includes different types of accreditation and certification, as well as expert review</w:t>
      </w:r>
      <w:r w:rsidR="00317522" w:rsidRPr="00411CFF">
        <w:rPr>
          <w:rFonts w:ascii="Times New Roman" w:hAnsi="Times New Roman"/>
          <w:color w:val="000000"/>
          <w:sz w:val="24"/>
        </w:rPr>
        <w:t>s</w:t>
      </w:r>
      <w:r w:rsidRPr="00411CFF">
        <w:rPr>
          <w:rFonts w:ascii="Times New Roman" w:hAnsi="Times New Roman"/>
          <w:color w:val="000000"/>
          <w:sz w:val="24"/>
        </w:rPr>
        <w:t xml:space="preserve"> of educational programmes, with </w:t>
      </w:r>
      <w:r w:rsidR="00064E2D">
        <w:rPr>
          <w:rFonts w:ascii="Times New Roman" w:hAnsi="Times New Roman"/>
          <w:color w:val="000000"/>
          <w:sz w:val="24"/>
        </w:rPr>
        <w:t>frequent</w:t>
      </w:r>
      <w:r w:rsidR="00064E2D" w:rsidRPr="00411CFF">
        <w:rPr>
          <w:rFonts w:ascii="Times New Roman" w:hAnsi="Times New Roman"/>
          <w:color w:val="000000"/>
          <w:sz w:val="24"/>
        </w:rPr>
        <w:t xml:space="preserve"> </w:t>
      </w:r>
      <w:r w:rsidRPr="00411CFF">
        <w:rPr>
          <w:rFonts w:ascii="Times New Roman" w:hAnsi="Times New Roman"/>
          <w:color w:val="000000"/>
          <w:sz w:val="24"/>
        </w:rPr>
        <w:t xml:space="preserve">participation </w:t>
      </w:r>
      <w:r w:rsidR="00317522" w:rsidRPr="00411CFF">
        <w:rPr>
          <w:rFonts w:ascii="Times New Roman" w:hAnsi="Times New Roman"/>
          <w:color w:val="000000"/>
          <w:sz w:val="24"/>
        </w:rPr>
        <w:t xml:space="preserve">of </w:t>
      </w:r>
      <w:r w:rsidRPr="00411CFF">
        <w:rPr>
          <w:rFonts w:ascii="Times New Roman" w:hAnsi="Times New Roman"/>
          <w:color w:val="000000"/>
          <w:sz w:val="24"/>
        </w:rPr>
        <w:t xml:space="preserve">international experts. In 2016, </w:t>
      </w:r>
      <w:r w:rsidR="00064E2D" w:rsidRPr="00411CFF">
        <w:rPr>
          <w:rFonts w:ascii="Times New Roman" w:hAnsi="Times New Roman"/>
          <w:color w:val="000000"/>
          <w:sz w:val="24"/>
        </w:rPr>
        <w:t>15 of HSE’s educational programmes received accreditation</w:t>
      </w:r>
      <w:r w:rsidR="00064E2D">
        <w:rPr>
          <w:rFonts w:ascii="Times New Roman" w:hAnsi="Times New Roman"/>
          <w:color w:val="000000"/>
          <w:sz w:val="24"/>
        </w:rPr>
        <w:t xml:space="preserve"> and </w:t>
      </w:r>
      <w:r w:rsidRPr="00411CFF">
        <w:rPr>
          <w:rFonts w:ascii="Times New Roman" w:hAnsi="Times New Roman"/>
          <w:color w:val="000000"/>
          <w:sz w:val="24"/>
        </w:rPr>
        <w:t xml:space="preserve">27.1% of </w:t>
      </w:r>
      <w:r w:rsidR="00064E2D">
        <w:rPr>
          <w:rFonts w:ascii="Times New Roman" w:hAnsi="Times New Roman"/>
          <w:color w:val="000000"/>
          <w:sz w:val="24"/>
        </w:rPr>
        <w:t xml:space="preserve">all programmes </w:t>
      </w:r>
      <w:r w:rsidRPr="00411CFF">
        <w:rPr>
          <w:rFonts w:ascii="Times New Roman" w:hAnsi="Times New Roman"/>
          <w:color w:val="000000"/>
          <w:sz w:val="24"/>
        </w:rPr>
        <w:t>passed independent expert reviews</w:t>
      </w:r>
      <w:r w:rsidR="00CE4015" w:rsidRPr="00411CFF">
        <w:rPr>
          <w:rFonts w:ascii="Times New Roman" w:hAnsi="Times New Roman"/>
          <w:color w:val="000000"/>
          <w:sz w:val="24"/>
        </w:rPr>
        <w:t>.</w:t>
      </w:r>
    </w:p>
    <w:p w14:paraId="1561820A" w14:textId="39FCB574" w:rsidR="00F40E64" w:rsidRPr="00411CFF" w:rsidRDefault="00F40E64"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 xml:space="preserve">In order to improve </w:t>
      </w:r>
      <w:r w:rsidR="0071478D" w:rsidRPr="00411CFF">
        <w:rPr>
          <w:rFonts w:ascii="Times New Roman" w:hAnsi="Times New Roman"/>
          <w:color w:val="000000"/>
          <w:sz w:val="24"/>
        </w:rPr>
        <w:t xml:space="preserve">the </w:t>
      </w:r>
      <w:r w:rsidRPr="00411CFF">
        <w:rPr>
          <w:rFonts w:ascii="Times New Roman" w:hAnsi="Times New Roman"/>
          <w:color w:val="000000"/>
          <w:sz w:val="24"/>
        </w:rPr>
        <w:t xml:space="preserve">standards of services offered </w:t>
      </w:r>
      <w:r w:rsidR="00F4622B" w:rsidRPr="00411CFF">
        <w:rPr>
          <w:rFonts w:ascii="Times New Roman" w:hAnsi="Times New Roman"/>
          <w:color w:val="000000"/>
          <w:sz w:val="24"/>
        </w:rPr>
        <w:t>to</w:t>
      </w:r>
      <w:r w:rsidR="0071478D" w:rsidRPr="00411CFF">
        <w:rPr>
          <w:rFonts w:ascii="Times New Roman" w:hAnsi="Times New Roman"/>
          <w:color w:val="000000"/>
          <w:sz w:val="24"/>
        </w:rPr>
        <w:t xml:space="preserve"> </w:t>
      </w:r>
      <w:r w:rsidRPr="00411CFF">
        <w:rPr>
          <w:rFonts w:ascii="Times New Roman" w:hAnsi="Times New Roman"/>
          <w:color w:val="000000"/>
          <w:sz w:val="24"/>
        </w:rPr>
        <w:t xml:space="preserve">students and </w:t>
      </w:r>
      <w:r w:rsidR="002C217B">
        <w:rPr>
          <w:rFonts w:ascii="Times New Roman" w:hAnsi="Times New Roman"/>
          <w:color w:val="000000"/>
          <w:sz w:val="24"/>
        </w:rPr>
        <w:t>faculty</w:t>
      </w:r>
      <w:r w:rsidRPr="00D301E4">
        <w:rPr>
          <w:rFonts w:ascii="Times New Roman" w:hAnsi="Times New Roman"/>
          <w:color w:val="000000"/>
          <w:sz w:val="24"/>
        </w:rPr>
        <w:t xml:space="preserve">, a performance evaluation system for programme coordinators has been </w:t>
      </w:r>
      <w:r w:rsidR="0071478D" w:rsidRPr="00411CFF">
        <w:rPr>
          <w:rFonts w:ascii="Times New Roman" w:hAnsi="Times New Roman"/>
          <w:color w:val="000000"/>
          <w:sz w:val="24"/>
        </w:rPr>
        <w:t>put in place</w:t>
      </w:r>
      <w:r w:rsidRPr="00411CFF">
        <w:rPr>
          <w:rFonts w:ascii="Times New Roman" w:hAnsi="Times New Roman"/>
          <w:color w:val="000000"/>
          <w:sz w:val="24"/>
        </w:rPr>
        <w:t xml:space="preserve">. </w:t>
      </w:r>
      <w:r w:rsidR="00F4622B">
        <w:rPr>
          <w:rFonts w:ascii="Times New Roman" w:hAnsi="Times New Roman"/>
          <w:color w:val="000000"/>
          <w:sz w:val="24"/>
        </w:rPr>
        <w:t xml:space="preserve">Sixty-nine </w:t>
      </w:r>
      <w:proofErr w:type="spellStart"/>
      <w:r w:rsidR="00F4622B">
        <w:rPr>
          <w:rFonts w:ascii="Times New Roman" w:hAnsi="Times New Roman"/>
          <w:color w:val="000000"/>
          <w:sz w:val="24"/>
        </w:rPr>
        <w:t>percent</w:t>
      </w:r>
      <w:proofErr w:type="spellEnd"/>
      <w:r w:rsidR="00F4622B" w:rsidRPr="00411CFF">
        <w:rPr>
          <w:rFonts w:ascii="Times New Roman" w:hAnsi="Times New Roman"/>
          <w:color w:val="000000"/>
          <w:sz w:val="24"/>
        </w:rPr>
        <w:t xml:space="preserve">, </w:t>
      </w:r>
      <w:r w:rsidRPr="00411CFF">
        <w:rPr>
          <w:rFonts w:ascii="Times New Roman" w:hAnsi="Times New Roman"/>
          <w:color w:val="000000"/>
          <w:sz w:val="24"/>
        </w:rPr>
        <w:t>of educational programmes</w:t>
      </w:r>
      <w:r w:rsidR="00F4622B">
        <w:rPr>
          <w:rFonts w:ascii="Times New Roman" w:hAnsi="Times New Roman"/>
          <w:color w:val="000000"/>
          <w:sz w:val="24"/>
        </w:rPr>
        <w:t>’</w:t>
      </w:r>
      <w:r w:rsidRPr="00411CFF">
        <w:rPr>
          <w:rFonts w:ascii="Times New Roman" w:hAnsi="Times New Roman"/>
          <w:color w:val="000000"/>
          <w:sz w:val="24"/>
        </w:rPr>
        <w:t xml:space="preserve"> coordinators</w:t>
      </w:r>
      <w:r w:rsidR="000A7F1A" w:rsidRPr="00411CFF">
        <w:rPr>
          <w:rFonts w:ascii="Times New Roman" w:hAnsi="Times New Roman"/>
          <w:color w:val="000000"/>
          <w:sz w:val="24"/>
        </w:rPr>
        <w:t xml:space="preserve"> successfully</w:t>
      </w:r>
      <w:r w:rsidRPr="00411CFF">
        <w:rPr>
          <w:rFonts w:ascii="Times New Roman" w:hAnsi="Times New Roman"/>
          <w:color w:val="000000"/>
          <w:sz w:val="24"/>
        </w:rPr>
        <w:t xml:space="preserve"> passed evaluation</w:t>
      </w:r>
      <w:r w:rsidR="000A7F1A" w:rsidRPr="00411CFF">
        <w:rPr>
          <w:rFonts w:ascii="Times New Roman" w:hAnsi="Times New Roman"/>
          <w:color w:val="000000"/>
          <w:sz w:val="24"/>
        </w:rPr>
        <w:t>s</w:t>
      </w:r>
      <w:r w:rsidR="00F4622B">
        <w:rPr>
          <w:rFonts w:ascii="Times New Roman" w:hAnsi="Times New Roman"/>
          <w:color w:val="000000"/>
          <w:sz w:val="24"/>
        </w:rPr>
        <w:t>. In addition,</w:t>
      </w:r>
      <w:r w:rsidR="00B00F78" w:rsidRPr="00B00F78">
        <w:rPr>
          <w:rFonts w:ascii="Times New Roman" w:hAnsi="Times New Roman"/>
          <w:color w:val="000000"/>
          <w:sz w:val="24"/>
          <w:lang w:val="en-US"/>
        </w:rPr>
        <w:t xml:space="preserve"> </w:t>
      </w:r>
      <w:r w:rsidR="00F4622B" w:rsidRPr="00411CFF">
        <w:rPr>
          <w:rFonts w:ascii="Times New Roman" w:hAnsi="Times New Roman"/>
          <w:color w:val="000000"/>
          <w:sz w:val="24"/>
        </w:rPr>
        <w:t>53%</w:t>
      </w:r>
      <w:r w:rsidR="000A7F1A" w:rsidRPr="00411CFF">
        <w:rPr>
          <w:rFonts w:ascii="Times New Roman" w:hAnsi="Times New Roman"/>
          <w:color w:val="000000"/>
          <w:sz w:val="24"/>
        </w:rPr>
        <w:t xml:space="preserve"> of</w:t>
      </w:r>
      <w:r w:rsidRPr="00411CFF">
        <w:rPr>
          <w:rFonts w:ascii="Times New Roman" w:hAnsi="Times New Roman"/>
          <w:color w:val="000000"/>
          <w:sz w:val="24"/>
        </w:rPr>
        <w:t xml:space="preserve"> employees </w:t>
      </w:r>
      <w:r w:rsidR="00333701">
        <w:rPr>
          <w:rFonts w:ascii="Times New Roman" w:hAnsi="Times New Roman"/>
          <w:color w:val="000000"/>
          <w:sz w:val="24"/>
        </w:rPr>
        <w:t>received</w:t>
      </w:r>
      <w:r w:rsidRPr="00411CFF">
        <w:rPr>
          <w:rFonts w:ascii="Times New Roman" w:hAnsi="Times New Roman"/>
          <w:color w:val="000000"/>
          <w:sz w:val="24"/>
        </w:rPr>
        <w:t xml:space="preserve"> bonus</w:t>
      </w:r>
      <w:r w:rsidR="000A7F1A" w:rsidRPr="00411CFF">
        <w:rPr>
          <w:rFonts w:ascii="Times New Roman" w:hAnsi="Times New Roman"/>
          <w:color w:val="000000"/>
          <w:sz w:val="24"/>
        </w:rPr>
        <w:t>es</w:t>
      </w:r>
      <w:r w:rsidRPr="00411CFF">
        <w:rPr>
          <w:rFonts w:ascii="Times New Roman" w:hAnsi="Times New Roman"/>
          <w:color w:val="000000"/>
          <w:sz w:val="24"/>
        </w:rPr>
        <w:t xml:space="preserve"> based on their level of English language proficiency. </w:t>
      </w:r>
    </w:p>
    <w:p w14:paraId="58C67281" w14:textId="77777777" w:rsidR="00F40E64" w:rsidRPr="00411CFF" w:rsidRDefault="00F40E64" w:rsidP="0051131B">
      <w:pPr>
        <w:spacing w:after="0"/>
        <w:ind w:firstLine="709"/>
        <w:jc w:val="both"/>
        <w:rPr>
          <w:rFonts w:ascii="Times New Roman" w:hAnsi="Times New Roman"/>
          <w:b/>
          <w:sz w:val="24"/>
          <w:szCs w:val="24"/>
        </w:rPr>
      </w:pPr>
    </w:p>
    <w:p w14:paraId="50239388" w14:textId="77777777" w:rsidR="00F40E64" w:rsidRPr="00411CFF" w:rsidRDefault="00F40E64" w:rsidP="0051131B">
      <w:pPr>
        <w:spacing w:after="0"/>
        <w:ind w:firstLine="709"/>
        <w:jc w:val="both"/>
        <w:rPr>
          <w:rFonts w:ascii="Times New Roman" w:hAnsi="Times New Roman"/>
          <w:b/>
          <w:sz w:val="24"/>
          <w:szCs w:val="24"/>
        </w:rPr>
      </w:pPr>
      <w:r w:rsidRPr="00411CFF">
        <w:rPr>
          <w:rFonts w:ascii="Times New Roman" w:hAnsi="Times New Roman"/>
          <w:b/>
          <w:sz w:val="24"/>
        </w:rPr>
        <w:t>Strategic Initiative No. 3: Attracting Talented Students</w:t>
      </w:r>
    </w:p>
    <w:p w14:paraId="7FDFABFB" w14:textId="22CF1F82" w:rsidR="00F40E64" w:rsidRPr="00411CFF" w:rsidRDefault="00F40E64"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 xml:space="preserve">In order to promote its education </w:t>
      </w:r>
      <w:r w:rsidR="007E3636">
        <w:rPr>
          <w:rFonts w:ascii="Times New Roman" w:hAnsi="Times New Roman"/>
          <w:color w:val="000000"/>
          <w:sz w:val="24"/>
        </w:rPr>
        <w:t>globally</w:t>
      </w:r>
      <w:r w:rsidRPr="00411CFF">
        <w:rPr>
          <w:rFonts w:ascii="Times New Roman" w:hAnsi="Times New Roman"/>
          <w:color w:val="000000"/>
          <w:sz w:val="24"/>
        </w:rPr>
        <w:t>, HSE</w:t>
      </w:r>
      <w:r w:rsidR="000A7F1A" w:rsidRPr="00411CFF">
        <w:rPr>
          <w:rFonts w:ascii="Times New Roman" w:hAnsi="Times New Roman"/>
          <w:color w:val="000000"/>
          <w:sz w:val="24"/>
        </w:rPr>
        <w:t xml:space="preserve"> </w:t>
      </w:r>
      <w:r w:rsidRPr="00411CFF">
        <w:rPr>
          <w:rFonts w:ascii="Times New Roman" w:hAnsi="Times New Roman"/>
          <w:color w:val="000000"/>
          <w:sz w:val="24"/>
        </w:rPr>
        <w:t xml:space="preserve">takes </w:t>
      </w:r>
      <w:r w:rsidR="007E3636">
        <w:rPr>
          <w:rFonts w:ascii="Times New Roman" w:hAnsi="Times New Roman"/>
          <w:color w:val="000000"/>
          <w:sz w:val="24"/>
        </w:rPr>
        <w:t xml:space="preserve">an active </w:t>
      </w:r>
      <w:r w:rsidRPr="00411CFF">
        <w:rPr>
          <w:rFonts w:ascii="Times New Roman" w:hAnsi="Times New Roman"/>
          <w:color w:val="000000"/>
          <w:sz w:val="24"/>
        </w:rPr>
        <w:t xml:space="preserve">part in large </w:t>
      </w:r>
      <w:r w:rsidR="002646BE" w:rsidRPr="00411CFF">
        <w:rPr>
          <w:rFonts w:ascii="Times New Roman" w:hAnsi="Times New Roman"/>
          <w:color w:val="000000"/>
          <w:sz w:val="24"/>
        </w:rPr>
        <w:t>international</w:t>
      </w:r>
      <w:r w:rsidR="000A7F1A" w:rsidRPr="00411CFF">
        <w:rPr>
          <w:rFonts w:ascii="Times New Roman" w:hAnsi="Times New Roman"/>
          <w:color w:val="000000"/>
          <w:sz w:val="24"/>
        </w:rPr>
        <w:t xml:space="preserve"> </w:t>
      </w:r>
      <w:r w:rsidR="006E44EC">
        <w:rPr>
          <w:rFonts w:ascii="Times New Roman" w:hAnsi="Times New Roman"/>
          <w:color w:val="000000"/>
          <w:sz w:val="24"/>
        </w:rPr>
        <w:t>education fairs</w:t>
      </w:r>
      <w:r w:rsidR="000A7F1A" w:rsidRPr="00411CFF">
        <w:rPr>
          <w:rFonts w:ascii="Times New Roman" w:hAnsi="Times New Roman"/>
          <w:color w:val="000000"/>
          <w:sz w:val="24"/>
        </w:rPr>
        <w:t>. In 2016,</w:t>
      </w:r>
      <w:r w:rsidRPr="00411CFF">
        <w:rPr>
          <w:rFonts w:ascii="Times New Roman" w:hAnsi="Times New Roman"/>
          <w:color w:val="000000"/>
          <w:sz w:val="24"/>
        </w:rPr>
        <w:t xml:space="preserve"> the university </w:t>
      </w:r>
      <w:r w:rsidR="005A4329">
        <w:rPr>
          <w:rFonts w:ascii="Times New Roman" w:hAnsi="Times New Roman"/>
          <w:color w:val="000000"/>
          <w:sz w:val="24"/>
        </w:rPr>
        <w:t>participated</w:t>
      </w:r>
      <w:r w:rsidRPr="00411CFF">
        <w:rPr>
          <w:rFonts w:ascii="Times New Roman" w:hAnsi="Times New Roman"/>
          <w:color w:val="000000"/>
          <w:sz w:val="24"/>
        </w:rPr>
        <w:t xml:space="preserve"> in </w:t>
      </w:r>
      <w:r w:rsidR="000A7F1A" w:rsidRPr="00411CFF">
        <w:rPr>
          <w:rFonts w:ascii="Times New Roman" w:hAnsi="Times New Roman"/>
          <w:color w:val="000000"/>
          <w:sz w:val="24"/>
        </w:rPr>
        <w:t xml:space="preserve">four </w:t>
      </w:r>
      <w:r w:rsidRPr="00411CFF">
        <w:rPr>
          <w:rFonts w:ascii="Times New Roman" w:hAnsi="Times New Roman"/>
          <w:color w:val="000000"/>
          <w:sz w:val="24"/>
        </w:rPr>
        <w:t xml:space="preserve">marketing events in the USA, the UK, </w:t>
      </w:r>
      <w:r w:rsidR="000A7F1A" w:rsidRPr="00411CFF">
        <w:rPr>
          <w:rFonts w:ascii="Times New Roman" w:hAnsi="Times New Roman"/>
          <w:color w:val="000000"/>
          <w:sz w:val="24"/>
        </w:rPr>
        <w:t>South</w:t>
      </w:r>
      <w:r w:rsidRPr="00411CFF">
        <w:rPr>
          <w:rFonts w:ascii="Times New Roman" w:hAnsi="Times New Roman"/>
          <w:color w:val="000000"/>
          <w:sz w:val="24"/>
        </w:rPr>
        <w:t xml:space="preserve"> Korea and India. </w:t>
      </w:r>
      <w:r w:rsidR="000A7F1A" w:rsidRPr="00411CFF">
        <w:rPr>
          <w:rFonts w:ascii="Times New Roman" w:hAnsi="Times New Roman"/>
          <w:color w:val="000000"/>
          <w:sz w:val="24"/>
        </w:rPr>
        <w:t>Th</w:t>
      </w:r>
      <w:r w:rsidR="005A4329">
        <w:rPr>
          <w:rFonts w:ascii="Times New Roman" w:hAnsi="Times New Roman"/>
          <w:color w:val="000000"/>
          <w:sz w:val="24"/>
        </w:rPr>
        <w:t>at</w:t>
      </w:r>
      <w:r w:rsidR="000A7F1A" w:rsidRPr="00411CFF">
        <w:rPr>
          <w:rFonts w:ascii="Times New Roman" w:hAnsi="Times New Roman"/>
          <w:color w:val="000000"/>
          <w:sz w:val="24"/>
        </w:rPr>
        <w:t xml:space="preserve"> resulted in </w:t>
      </w:r>
      <w:r w:rsidR="005A4329">
        <w:rPr>
          <w:rFonts w:ascii="Times New Roman" w:hAnsi="Times New Roman"/>
          <w:color w:val="000000"/>
          <w:sz w:val="24"/>
        </w:rPr>
        <w:t>the</w:t>
      </w:r>
      <w:r w:rsidR="006E44EC">
        <w:rPr>
          <w:rFonts w:ascii="Times New Roman" w:hAnsi="Times New Roman"/>
          <w:color w:val="000000"/>
          <w:sz w:val="24"/>
        </w:rPr>
        <w:t xml:space="preserve"> </w:t>
      </w:r>
      <w:r w:rsidR="000A7F1A" w:rsidRPr="00411CFF">
        <w:rPr>
          <w:rFonts w:ascii="Times New Roman" w:hAnsi="Times New Roman"/>
          <w:color w:val="000000"/>
          <w:sz w:val="24"/>
        </w:rPr>
        <w:t>increase in the</w:t>
      </w:r>
      <w:r w:rsidRPr="00411CFF">
        <w:rPr>
          <w:rFonts w:ascii="Times New Roman" w:hAnsi="Times New Roman"/>
          <w:color w:val="000000"/>
          <w:sz w:val="24"/>
        </w:rPr>
        <w:t xml:space="preserve"> number of </w:t>
      </w:r>
      <w:r w:rsidR="005A4329">
        <w:rPr>
          <w:rFonts w:ascii="Times New Roman" w:hAnsi="Times New Roman"/>
          <w:color w:val="000000"/>
          <w:sz w:val="24"/>
        </w:rPr>
        <w:t>tuition</w:t>
      </w:r>
      <w:r w:rsidR="006E44EC">
        <w:rPr>
          <w:rFonts w:ascii="Times New Roman" w:hAnsi="Times New Roman"/>
          <w:color w:val="000000"/>
          <w:sz w:val="24"/>
        </w:rPr>
        <w:t>-paying students enrolled in</w:t>
      </w:r>
      <w:r w:rsidRPr="00D301E4">
        <w:rPr>
          <w:rFonts w:ascii="Times New Roman" w:hAnsi="Times New Roman"/>
          <w:color w:val="000000"/>
          <w:sz w:val="24"/>
        </w:rPr>
        <w:t xml:space="preserve"> HSE degree program</w:t>
      </w:r>
      <w:r w:rsidR="000A7F1A" w:rsidRPr="00411CFF">
        <w:rPr>
          <w:rFonts w:ascii="Times New Roman" w:hAnsi="Times New Roman"/>
          <w:color w:val="000000"/>
          <w:sz w:val="24"/>
        </w:rPr>
        <w:t>me</w:t>
      </w:r>
      <w:r w:rsidRPr="00411CFF">
        <w:rPr>
          <w:rFonts w:ascii="Times New Roman" w:hAnsi="Times New Roman"/>
          <w:color w:val="000000"/>
          <w:sz w:val="24"/>
        </w:rPr>
        <w:t xml:space="preserve">s </w:t>
      </w:r>
      <w:r w:rsidR="009F25B7">
        <w:rPr>
          <w:rFonts w:ascii="Times New Roman" w:hAnsi="Times New Roman"/>
          <w:color w:val="000000"/>
          <w:sz w:val="24"/>
        </w:rPr>
        <w:t>–</w:t>
      </w:r>
      <w:r w:rsidRPr="00D301E4">
        <w:rPr>
          <w:rFonts w:ascii="Times New Roman" w:hAnsi="Times New Roman"/>
          <w:color w:val="000000"/>
          <w:sz w:val="24"/>
        </w:rPr>
        <w:t xml:space="preserve"> 180</w:t>
      </w:r>
      <w:r w:rsidR="009F25B7" w:rsidRPr="009F25B7">
        <w:rPr>
          <w:rFonts w:ascii="Times New Roman" w:hAnsi="Times New Roman"/>
          <w:color w:val="000000"/>
          <w:sz w:val="24"/>
          <w:lang w:val="en-US"/>
        </w:rPr>
        <w:t xml:space="preserve"> </w:t>
      </w:r>
      <w:r w:rsidRPr="00D301E4">
        <w:rPr>
          <w:rFonts w:ascii="Times New Roman" w:hAnsi="Times New Roman"/>
          <w:color w:val="000000"/>
          <w:sz w:val="24"/>
        </w:rPr>
        <w:t>international students</w:t>
      </w:r>
      <w:r w:rsidR="006E44EC">
        <w:rPr>
          <w:rFonts w:ascii="Times New Roman" w:hAnsi="Times New Roman"/>
          <w:color w:val="000000"/>
          <w:sz w:val="24"/>
        </w:rPr>
        <w:t xml:space="preserve"> in 2016</w:t>
      </w:r>
      <w:r w:rsidRPr="00411CFF">
        <w:rPr>
          <w:rFonts w:ascii="Times New Roman" w:hAnsi="Times New Roman"/>
          <w:color w:val="000000"/>
          <w:sz w:val="24"/>
        </w:rPr>
        <w:t xml:space="preserve">. </w:t>
      </w:r>
    </w:p>
    <w:p w14:paraId="42D5CBBF" w14:textId="2EC9E4C7" w:rsidR="00F40E64" w:rsidRPr="00411CFF" w:rsidRDefault="00F40E64"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 xml:space="preserve">HSE </w:t>
      </w:r>
      <w:r w:rsidR="000A7F1A" w:rsidRPr="00411CFF">
        <w:rPr>
          <w:rFonts w:ascii="Times New Roman" w:hAnsi="Times New Roman"/>
          <w:color w:val="000000"/>
          <w:sz w:val="24"/>
        </w:rPr>
        <w:t>is continuing to</w:t>
      </w:r>
      <w:r w:rsidRPr="00411CFF">
        <w:rPr>
          <w:rFonts w:ascii="Times New Roman" w:hAnsi="Times New Roman"/>
          <w:color w:val="000000"/>
          <w:sz w:val="24"/>
        </w:rPr>
        <w:t xml:space="preserve"> expand </w:t>
      </w:r>
      <w:r w:rsidR="00F622A7" w:rsidRPr="00411CFF">
        <w:rPr>
          <w:rFonts w:ascii="Times New Roman" w:hAnsi="Times New Roman"/>
          <w:color w:val="000000"/>
          <w:sz w:val="24"/>
        </w:rPr>
        <w:t xml:space="preserve">partnerships </w:t>
      </w:r>
      <w:r w:rsidR="007E3636">
        <w:rPr>
          <w:rFonts w:ascii="Times New Roman" w:hAnsi="Times New Roman"/>
          <w:color w:val="000000"/>
          <w:sz w:val="24"/>
        </w:rPr>
        <w:t>with</w:t>
      </w:r>
      <w:r w:rsidR="00F622A7" w:rsidRPr="00411CFF">
        <w:rPr>
          <w:rFonts w:ascii="Times New Roman" w:hAnsi="Times New Roman"/>
          <w:color w:val="000000"/>
          <w:sz w:val="24"/>
        </w:rPr>
        <w:t xml:space="preserve"> </w:t>
      </w:r>
      <w:r w:rsidRPr="00411CFF">
        <w:rPr>
          <w:rFonts w:ascii="Times New Roman" w:hAnsi="Times New Roman"/>
          <w:color w:val="000000"/>
          <w:sz w:val="24"/>
        </w:rPr>
        <w:t>countries of the Asia-Pacific region and Latin America, which are relatively new markets for the university</w:t>
      </w:r>
      <w:r w:rsidR="00F622A7" w:rsidRPr="00411CFF">
        <w:rPr>
          <w:rFonts w:ascii="Times New Roman" w:hAnsi="Times New Roman"/>
          <w:color w:val="000000"/>
          <w:sz w:val="24"/>
        </w:rPr>
        <w:t xml:space="preserve">. In particular, 10 </w:t>
      </w:r>
      <w:r w:rsidRPr="00411CFF">
        <w:rPr>
          <w:rFonts w:ascii="Times New Roman" w:hAnsi="Times New Roman"/>
          <w:color w:val="000000"/>
          <w:sz w:val="24"/>
        </w:rPr>
        <w:t xml:space="preserve">new agreements on cooperation have been signed with </w:t>
      </w:r>
      <w:r w:rsidR="0052459B" w:rsidRPr="00411CFF">
        <w:rPr>
          <w:rFonts w:ascii="Times New Roman" w:hAnsi="Times New Roman"/>
          <w:color w:val="000000"/>
          <w:sz w:val="24"/>
        </w:rPr>
        <w:t xml:space="preserve">seven </w:t>
      </w:r>
      <w:r w:rsidRPr="00411CFF">
        <w:rPr>
          <w:rFonts w:ascii="Times New Roman" w:hAnsi="Times New Roman"/>
          <w:color w:val="000000"/>
          <w:sz w:val="24"/>
        </w:rPr>
        <w:t>universities from Asia and Latin America that rank in</w:t>
      </w:r>
      <w:r w:rsidR="00F622A7" w:rsidRPr="00411CFF">
        <w:rPr>
          <w:rFonts w:ascii="Times New Roman" w:hAnsi="Times New Roman"/>
          <w:color w:val="000000"/>
          <w:sz w:val="24"/>
        </w:rPr>
        <w:t xml:space="preserve"> Top-</w:t>
      </w:r>
      <w:r w:rsidRPr="00411CFF">
        <w:rPr>
          <w:rFonts w:ascii="Times New Roman" w:hAnsi="Times New Roman"/>
          <w:color w:val="000000"/>
          <w:sz w:val="24"/>
        </w:rPr>
        <w:t xml:space="preserve">300 global rankings. </w:t>
      </w:r>
      <w:r w:rsidR="00CA687D">
        <w:rPr>
          <w:rFonts w:ascii="Times New Roman" w:hAnsi="Times New Roman"/>
          <w:color w:val="000000"/>
          <w:sz w:val="24"/>
        </w:rPr>
        <w:t>In 2016, p</w:t>
      </w:r>
      <w:r w:rsidR="00B21679">
        <w:rPr>
          <w:rFonts w:ascii="Times New Roman" w:hAnsi="Times New Roman"/>
          <w:color w:val="000000"/>
          <w:sz w:val="24"/>
        </w:rPr>
        <w:t>resentations</w:t>
      </w:r>
      <w:r w:rsidR="00B21679" w:rsidRPr="00D301E4" w:rsidDel="00F622A7">
        <w:rPr>
          <w:rFonts w:ascii="Times New Roman" w:hAnsi="Times New Roman"/>
          <w:color w:val="000000"/>
          <w:sz w:val="24"/>
        </w:rPr>
        <w:t xml:space="preserve"> </w:t>
      </w:r>
      <w:r w:rsidR="00CA687D">
        <w:rPr>
          <w:rFonts w:ascii="Times New Roman" w:hAnsi="Times New Roman"/>
          <w:color w:val="000000"/>
          <w:sz w:val="24"/>
        </w:rPr>
        <w:t>about</w:t>
      </w:r>
      <w:r w:rsidR="00B21679">
        <w:rPr>
          <w:rFonts w:ascii="Times New Roman" w:hAnsi="Times New Roman"/>
          <w:color w:val="000000"/>
          <w:sz w:val="24"/>
        </w:rPr>
        <w:t xml:space="preserve"> HSE</w:t>
      </w:r>
      <w:r w:rsidR="00F622A7" w:rsidRPr="00D301E4">
        <w:rPr>
          <w:rFonts w:ascii="Times New Roman" w:hAnsi="Times New Roman"/>
          <w:color w:val="000000"/>
          <w:sz w:val="24"/>
        </w:rPr>
        <w:t xml:space="preserve"> </w:t>
      </w:r>
      <w:r w:rsidR="00B21679">
        <w:rPr>
          <w:rFonts w:ascii="Times New Roman" w:hAnsi="Times New Roman"/>
          <w:color w:val="000000"/>
          <w:sz w:val="24"/>
        </w:rPr>
        <w:t xml:space="preserve">academic programmes </w:t>
      </w:r>
      <w:r w:rsidR="00CA687D">
        <w:rPr>
          <w:rFonts w:ascii="Times New Roman" w:hAnsi="Times New Roman"/>
          <w:color w:val="000000"/>
          <w:sz w:val="24"/>
        </w:rPr>
        <w:t>we</w:t>
      </w:r>
      <w:r w:rsidR="00036DBA" w:rsidRPr="00411CFF">
        <w:rPr>
          <w:rFonts w:ascii="Times New Roman" w:hAnsi="Times New Roman"/>
          <w:color w:val="000000"/>
          <w:sz w:val="24"/>
        </w:rPr>
        <w:t xml:space="preserve">re </w:t>
      </w:r>
      <w:r w:rsidR="007E3636">
        <w:rPr>
          <w:rFonts w:ascii="Times New Roman" w:hAnsi="Times New Roman"/>
          <w:color w:val="000000"/>
          <w:sz w:val="24"/>
        </w:rPr>
        <w:t>made</w:t>
      </w:r>
      <w:r w:rsidR="007E3636" w:rsidRPr="00411CFF">
        <w:rPr>
          <w:rFonts w:ascii="Times New Roman" w:hAnsi="Times New Roman"/>
          <w:color w:val="000000"/>
          <w:sz w:val="24"/>
        </w:rPr>
        <w:t xml:space="preserve"> </w:t>
      </w:r>
      <w:r w:rsidRPr="00411CFF">
        <w:rPr>
          <w:rFonts w:ascii="Times New Roman" w:hAnsi="Times New Roman"/>
          <w:color w:val="000000"/>
          <w:sz w:val="24"/>
        </w:rPr>
        <w:t xml:space="preserve">in China, the USA, Spain, Turkey, Israel, Mongolia, </w:t>
      </w:r>
      <w:r w:rsidR="00CA687D">
        <w:rPr>
          <w:rFonts w:ascii="Times New Roman" w:hAnsi="Times New Roman"/>
          <w:color w:val="000000"/>
          <w:sz w:val="24"/>
        </w:rPr>
        <w:t xml:space="preserve">Vietnam, Indonesia, </w:t>
      </w:r>
      <w:proofErr w:type="gramStart"/>
      <w:r w:rsidR="00CA687D">
        <w:rPr>
          <w:rFonts w:ascii="Times New Roman" w:hAnsi="Times New Roman"/>
          <w:color w:val="000000"/>
          <w:sz w:val="24"/>
        </w:rPr>
        <w:t>Kenya</w:t>
      </w:r>
      <w:proofErr w:type="gramEnd"/>
      <w:r w:rsidR="00CA687D">
        <w:rPr>
          <w:rFonts w:ascii="Times New Roman" w:hAnsi="Times New Roman"/>
          <w:color w:val="000000"/>
          <w:sz w:val="24"/>
        </w:rPr>
        <w:t xml:space="preserve"> and in most </w:t>
      </w:r>
      <w:r w:rsidRPr="00411CFF">
        <w:rPr>
          <w:rFonts w:ascii="Times New Roman" w:hAnsi="Times New Roman"/>
          <w:color w:val="000000"/>
          <w:sz w:val="24"/>
        </w:rPr>
        <w:t xml:space="preserve">countries of Eastern and Central Europe, </w:t>
      </w:r>
      <w:r w:rsidR="00CA687D">
        <w:rPr>
          <w:rFonts w:ascii="Times New Roman" w:hAnsi="Times New Roman"/>
          <w:color w:val="000000"/>
          <w:sz w:val="24"/>
        </w:rPr>
        <w:t>for more than</w:t>
      </w:r>
      <w:r w:rsidRPr="00411CFF">
        <w:rPr>
          <w:rFonts w:ascii="Times New Roman" w:hAnsi="Times New Roman"/>
          <w:color w:val="000000"/>
          <w:sz w:val="24"/>
        </w:rPr>
        <w:t xml:space="preserve"> 2,000 </w:t>
      </w:r>
      <w:r w:rsidR="00CA687D">
        <w:rPr>
          <w:rFonts w:ascii="Times New Roman" w:hAnsi="Times New Roman"/>
          <w:color w:val="000000"/>
          <w:sz w:val="24"/>
        </w:rPr>
        <w:t>prospective students.</w:t>
      </w:r>
      <w:r w:rsidRPr="00411CFF">
        <w:rPr>
          <w:rFonts w:ascii="Times New Roman" w:hAnsi="Times New Roman"/>
          <w:color w:val="000000"/>
          <w:sz w:val="24"/>
        </w:rPr>
        <w:t xml:space="preserve"> </w:t>
      </w:r>
    </w:p>
    <w:p w14:paraId="1EF63921" w14:textId="46B8F967" w:rsidR="00F40E64" w:rsidRPr="00411CFF" w:rsidRDefault="00F40E64"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 xml:space="preserve">In 2015, </w:t>
      </w:r>
      <w:r w:rsidR="00036DBA" w:rsidRPr="00411CFF">
        <w:rPr>
          <w:rFonts w:ascii="Times New Roman" w:hAnsi="Times New Roman"/>
          <w:color w:val="000000"/>
          <w:sz w:val="24"/>
        </w:rPr>
        <w:t xml:space="preserve">global </w:t>
      </w:r>
      <w:r w:rsidRPr="00411CFF">
        <w:rPr>
          <w:rFonts w:ascii="Times New Roman" w:hAnsi="Times New Roman"/>
          <w:color w:val="000000"/>
          <w:sz w:val="24"/>
        </w:rPr>
        <w:t xml:space="preserve">standards </w:t>
      </w:r>
      <w:r w:rsidR="00036DBA" w:rsidRPr="00411CFF">
        <w:rPr>
          <w:rFonts w:ascii="Times New Roman" w:hAnsi="Times New Roman"/>
          <w:color w:val="000000"/>
          <w:sz w:val="24"/>
        </w:rPr>
        <w:t xml:space="preserve">for </w:t>
      </w:r>
      <w:r w:rsidRPr="00411CFF">
        <w:rPr>
          <w:rFonts w:ascii="Times New Roman" w:hAnsi="Times New Roman"/>
          <w:color w:val="000000"/>
          <w:sz w:val="24"/>
        </w:rPr>
        <w:t>international student recruitment were introduced for HSE’s English-taught Master’s programmes</w:t>
      </w:r>
      <w:r w:rsidR="00036DBA" w:rsidRPr="00411CFF">
        <w:rPr>
          <w:rFonts w:ascii="Times New Roman" w:hAnsi="Times New Roman"/>
          <w:color w:val="000000"/>
          <w:sz w:val="24"/>
        </w:rPr>
        <w:t>. Th</w:t>
      </w:r>
      <w:r w:rsidR="00A41773">
        <w:rPr>
          <w:rFonts w:ascii="Times New Roman" w:hAnsi="Times New Roman"/>
          <w:color w:val="000000"/>
          <w:sz w:val="24"/>
        </w:rPr>
        <w:t>ose</w:t>
      </w:r>
      <w:r w:rsidR="00036DBA" w:rsidRPr="00411CFF">
        <w:rPr>
          <w:rFonts w:ascii="Times New Roman" w:hAnsi="Times New Roman"/>
          <w:color w:val="000000"/>
          <w:sz w:val="24"/>
        </w:rPr>
        <w:t xml:space="preserve"> </w:t>
      </w:r>
      <w:r w:rsidR="00A41773">
        <w:rPr>
          <w:rFonts w:ascii="Times New Roman" w:hAnsi="Times New Roman"/>
          <w:color w:val="000000"/>
          <w:sz w:val="24"/>
        </w:rPr>
        <w:t>standards were</w:t>
      </w:r>
      <w:r w:rsidR="00A41773" w:rsidRPr="00411CFF">
        <w:rPr>
          <w:rFonts w:ascii="Times New Roman" w:hAnsi="Times New Roman"/>
          <w:color w:val="000000"/>
          <w:sz w:val="24"/>
        </w:rPr>
        <w:t xml:space="preserve"> </w:t>
      </w:r>
      <w:r w:rsidR="00036DBA" w:rsidRPr="00411CFF">
        <w:rPr>
          <w:rFonts w:ascii="Times New Roman" w:hAnsi="Times New Roman"/>
          <w:color w:val="000000"/>
          <w:sz w:val="24"/>
        </w:rPr>
        <w:t xml:space="preserve">implemented further for </w:t>
      </w:r>
      <w:r w:rsidRPr="00411CFF">
        <w:rPr>
          <w:rFonts w:ascii="Times New Roman" w:hAnsi="Times New Roman"/>
          <w:color w:val="000000"/>
          <w:sz w:val="24"/>
        </w:rPr>
        <w:t>all Master’s programmes in 2016</w:t>
      </w:r>
      <w:r w:rsidR="00036DBA" w:rsidRPr="00411CFF">
        <w:rPr>
          <w:rFonts w:ascii="Times New Roman" w:hAnsi="Times New Roman"/>
          <w:color w:val="000000"/>
          <w:sz w:val="24"/>
        </w:rPr>
        <w:t xml:space="preserve">. </w:t>
      </w:r>
      <w:r w:rsidR="00A41773">
        <w:rPr>
          <w:rFonts w:ascii="Times New Roman" w:hAnsi="Times New Roman"/>
          <w:color w:val="000000"/>
          <w:sz w:val="24"/>
        </w:rPr>
        <w:t>As a result</w:t>
      </w:r>
      <w:r w:rsidR="00036DBA" w:rsidRPr="00411CFF">
        <w:rPr>
          <w:rFonts w:ascii="Times New Roman" w:hAnsi="Times New Roman"/>
          <w:color w:val="000000"/>
          <w:sz w:val="24"/>
        </w:rPr>
        <w:t>, 1,270</w:t>
      </w:r>
      <w:r w:rsidRPr="00411CFF">
        <w:rPr>
          <w:rFonts w:ascii="Times New Roman" w:hAnsi="Times New Roman"/>
          <w:color w:val="000000"/>
          <w:sz w:val="24"/>
        </w:rPr>
        <w:t xml:space="preserve"> </w:t>
      </w:r>
      <w:r w:rsidR="00CA687D">
        <w:rPr>
          <w:rFonts w:ascii="Times New Roman" w:hAnsi="Times New Roman"/>
          <w:color w:val="000000"/>
          <w:sz w:val="24"/>
        </w:rPr>
        <w:t xml:space="preserve">new </w:t>
      </w:r>
      <w:r w:rsidRPr="00411CFF">
        <w:rPr>
          <w:rFonts w:ascii="Times New Roman" w:hAnsi="Times New Roman"/>
          <w:color w:val="000000"/>
          <w:sz w:val="24"/>
        </w:rPr>
        <w:t xml:space="preserve">applications were registered </w:t>
      </w:r>
      <w:r w:rsidR="00036DBA" w:rsidRPr="00411CFF">
        <w:rPr>
          <w:rFonts w:ascii="Times New Roman" w:hAnsi="Times New Roman"/>
          <w:color w:val="000000"/>
          <w:sz w:val="24"/>
        </w:rPr>
        <w:t>through</w:t>
      </w:r>
      <w:r w:rsidRPr="00411CFF">
        <w:rPr>
          <w:rFonts w:ascii="Times New Roman" w:hAnsi="Times New Roman"/>
          <w:color w:val="000000"/>
          <w:sz w:val="24"/>
        </w:rPr>
        <w:t xml:space="preserve"> </w:t>
      </w:r>
      <w:r w:rsidR="004325A6" w:rsidRPr="00411CFF">
        <w:rPr>
          <w:rFonts w:ascii="Times New Roman" w:hAnsi="Times New Roman"/>
          <w:color w:val="000000"/>
          <w:sz w:val="24"/>
        </w:rPr>
        <w:t xml:space="preserve">the university’s </w:t>
      </w:r>
      <w:r w:rsidRPr="00411CFF">
        <w:rPr>
          <w:rFonts w:ascii="Times New Roman" w:hAnsi="Times New Roman"/>
          <w:color w:val="000000"/>
          <w:sz w:val="24"/>
        </w:rPr>
        <w:t xml:space="preserve">recruitment system, </w:t>
      </w:r>
      <w:r w:rsidR="00A41773">
        <w:rPr>
          <w:rFonts w:ascii="Times New Roman" w:hAnsi="Times New Roman"/>
          <w:color w:val="000000"/>
          <w:sz w:val="24"/>
        </w:rPr>
        <w:t>and</w:t>
      </w:r>
      <w:r w:rsidR="00A41773" w:rsidRPr="00411CFF">
        <w:rPr>
          <w:rFonts w:ascii="Times New Roman" w:hAnsi="Times New Roman"/>
          <w:color w:val="000000"/>
          <w:sz w:val="24"/>
        </w:rPr>
        <w:t xml:space="preserve"> </w:t>
      </w:r>
      <w:r w:rsidRPr="00411CFF">
        <w:rPr>
          <w:rFonts w:ascii="Times New Roman" w:hAnsi="Times New Roman"/>
          <w:color w:val="000000"/>
          <w:sz w:val="24"/>
        </w:rPr>
        <w:t>506 prospective students (40%) were</w:t>
      </w:r>
      <w:r w:rsidR="008A523F" w:rsidRPr="00411CFF">
        <w:rPr>
          <w:rFonts w:ascii="Times New Roman" w:hAnsi="Times New Roman"/>
          <w:color w:val="000000"/>
          <w:sz w:val="24"/>
        </w:rPr>
        <w:t xml:space="preserve"> eventually</w:t>
      </w:r>
      <w:r w:rsidRPr="00411CFF">
        <w:rPr>
          <w:rFonts w:ascii="Times New Roman" w:hAnsi="Times New Roman"/>
          <w:color w:val="000000"/>
          <w:sz w:val="24"/>
        </w:rPr>
        <w:t xml:space="preserve"> recommended for admission. </w:t>
      </w:r>
    </w:p>
    <w:p w14:paraId="66FA5930" w14:textId="36857D01" w:rsidR="00F40E64" w:rsidRPr="00411CFF" w:rsidRDefault="00F40E64" w:rsidP="0051131B">
      <w:pPr>
        <w:spacing w:after="0"/>
        <w:ind w:firstLine="709"/>
        <w:jc w:val="both"/>
        <w:rPr>
          <w:rFonts w:ascii="Times New Roman" w:hAnsi="Times New Roman"/>
          <w:color w:val="000000"/>
          <w:sz w:val="24"/>
          <w:szCs w:val="24"/>
        </w:rPr>
      </w:pPr>
      <w:r w:rsidRPr="00411CFF">
        <w:rPr>
          <w:rFonts w:ascii="Times New Roman" w:hAnsi="Times New Roman"/>
          <w:color w:val="000000"/>
          <w:sz w:val="24"/>
        </w:rPr>
        <w:t xml:space="preserve">HSE Olympiads and academic contests </w:t>
      </w:r>
      <w:r w:rsidR="00CA687D">
        <w:rPr>
          <w:rFonts w:ascii="Times New Roman" w:hAnsi="Times New Roman"/>
          <w:color w:val="000000"/>
          <w:sz w:val="24"/>
        </w:rPr>
        <w:t>in</w:t>
      </w:r>
      <w:r w:rsidR="00CA687D" w:rsidRPr="00411CFF">
        <w:rPr>
          <w:rFonts w:ascii="Times New Roman" w:hAnsi="Times New Roman"/>
          <w:color w:val="000000"/>
          <w:sz w:val="24"/>
        </w:rPr>
        <w:t xml:space="preserve"> </w:t>
      </w:r>
      <w:r w:rsidRPr="00411CFF">
        <w:rPr>
          <w:rFonts w:ascii="Times New Roman" w:hAnsi="Times New Roman"/>
          <w:color w:val="000000"/>
          <w:sz w:val="24"/>
        </w:rPr>
        <w:t xml:space="preserve">all fields of study offered by the university are held throughout Russia, CIS countries, the Baltic </w:t>
      </w:r>
      <w:r w:rsidR="0005715F" w:rsidRPr="00411CFF">
        <w:rPr>
          <w:rFonts w:ascii="Times New Roman" w:hAnsi="Times New Roman"/>
          <w:color w:val="000000"/>
          <w:sz w:val="24"/>
        </w:rPr>
        <w:t>States</w:t>
      </w:r>
      <w:r w:rsidRPr="00411CFF">
        <w:rPr>
          <w:rFonts w:ascii="Times New Roman" w:hAnsi="Times New Roman"/>
          <w:color w:val="000000"/>
          <w:sz w:val="24"/>
        </w:rPr>
        <w:t>, and Central and Eastern Europe</w:t>
      </w:r>
      <w:r w:rsidR="00036DBA" w:rsidRPr="00411CFF">
        <w:rPr>
          <w:rFonts w:ascii="Times New Roman" w:hAnsi="Times New Roman"/>
          <w:color w:val="000000"/>
          <w:sz w:val="24"/>
        </w:rPr>
        <w:t xml:space="preserve">. </w:t>
      </w:r>
      <w:r w:rsidR="00684303" w:rsidRPr="00411CFF">
        <w:rPr>
          <w:rFonts w:ascii="Times New Roman" w:hAnsi="Times New Roman"/>
          <w:color w:val="000000"/>
          <w:sz w:val="24"/>
        </w:rPr>
        <w:t>Th</w:t>
      </w:r>
      <w:r w:rsidR="00CA687D">
        <w:rPr>
          <w:rFonts w:ascii="Times New Roman" w:hAnsi="Times New Roman"/>
          <w:color w:val="000000"/>
          <w:sz w:val="24"/>
        </w:rPr>
        <w:t>o</w:t>
      </w:r>
      <w:r w:rsidR="00684303" w:rsidRPr="00411CFF">
        <w:rPr>
          <w:rFonts w:ascii="Times New Roman" w:hAnsi="Times New Roman"/>
          <w:color w:val="000000"/>
          <w:sz w:val="24"/>
        </w:rPr>
        <w:t>se events</w:t>
      </w:r>
      <w:r w:rsidR="00036DBA" w:rsidRPr="00411CFF">
        <w:rPr>
          <w:rFonts w:ascii="Times New Roman" w:hAnsi="Times New Roman"/>
          <w:color w:val="000000"/>
          <w:sz w:val="24"/>
        </w:rPr>
        <w:t xml:space="preserve"> ha</w:t>
      </w:r>
      <w:r w:rsidR="00684303" w:rsidRPr="00411CFF">
        <w:rPr>
          <w:rFonts w:ascii="Times New Roman" w:hAnsi="Times New Roman"/>
          <w:color w:val="000000"/>
          <w:sz w:val="24"/>
        </w:rPr>
        <w:t>ve</w:t>
      </w:r>
      <w:r w:rsidRPr="00411CFF">
        <w:rPr>
          <w:rFonts w:ascii="Times New Roman" w:hAnsi="Times New Roman"/>
          <w:color w:val="000000"/>
          <w:sz w:val="24"/>
        </w:rPr>
        <w:t xml:space="preserve"> prove</w:t>
      </w:r>
      <w:r w:rsidR="00036DBA" w:rsidRPr="00411CFF">
        <w:rPr>
          <w:rFonts w:ascii="Times New Roman" w:hAnsi="Times New Roman"/>
          <w:color w:val="000000"/>
          <w:sz w:val="24"/>
        </w:rPr>
        <w:t>n</w:t>
      </w:r>
      <w:r w:rsidRPr="00411CFF">
        <w:rPr>
          <w:rFonts w:ascii="Times New Roman" w:hAnsi="Times New Roman"/>
          <w:color w:val="000000"/>
          <w:sz w:val="24"/>
        </w:rPr>
        <w:t xml:space="preserve"> to be an important instrument for attracting talented international and Russian students. The Interregional School Students</w:t>
      </w:r>
      <w:r w:rsidR="00CA687D">
        <w:rPr>
          <w:rFonts w:ascii="Times New Roman" w:hAnsi="Times New Roman"/>
          <w:color w:val="000000"/>
          <w:sz w:val="24"/>
        </w:rPr>
        <w:t>’</w:t>
      </w:r>
      <w:r w:rsidRPr="00411CFF">
        <w:rPr>
          <w:rFonts w:ascii="Times New Roman" w:hAnsi="Times New Roman"/>
          <w:color w:val="000000"/>
          <w:sz w:val="24"/>
        </w:rPr>
        <w:t xml:space="preserve"> Competition “</w:t>
      </w:r>
      <w:proofErr w:type="spellStart"/>
      <w:r w:rsidRPr="00411CFF">
        <w:rPr>
          <w:rFonts w:ascii="Times New Roman" w:hAnsi="Times New Roman"/>
          <w:color w:val="000000"/>
          <w:sz w:val="24"/>
        </w:rPr>
        <w:t>Vysshaya</w:t>
      </w:r>
      <w:proofErr w:type="spellEnd"/>
      <w:r w:rsidRPr="00411CFF">
        <w:rPr>
          <w:rFonts w:ascii="Times New Roman" w:hAnsi="Times New Roman"/>
          <w:color w:val="000000"/>
          <w:sz w:val="24"/>
        </w:rPr>
        <w:t xml:space="preserve"> </w:t>
      </w:r>
      <w:proofErr w:type="spellStart"/>
      <w:r w:rsidRPr="00411CFF">
        <w:rPr>
          <w:rFonts w:ascii="Times New Roman" w:hAnsi="Times New Roman"/>
          <w:color w:val="000000"/>
          <w:sz w:val="24"/>
        </w:rPr>
        <w:t>Proba</w:t>
      </w:r>
      <w:proofErr w:type="spellEnd"/>
      <w:r w:rsidRPr="00411CFF">
        <w:rPr>
          <w:rFonts w:ascii="Times New Roman" w:hAnsi="Times New Roman"/>
          <w:color w:val="000000"/>
          <w:sz w:val="24"/>
        </w:rPr>
        <w:t>”</w:t>
      </w:r>
      <w:r w:rsidR="00CA687D">
        <w:rPr>
          <w:rFonts w:ascii="Times New Roman" w:hAnsi="Times New Roman"/>
          <w:color w:val="000000"/>
          <w:sz w:val="24"/>
        </w:rPr>
        <w:t xml:space="preserve"> (The Highest Hallmark)</w:t>
      </w:r>
      <w:r w:rsidRPr="00411CFF">
        <w:rPr>
          <w:rFonts w:ascii="Times New Roman" w:hAnsi="Times New Roman"/>
          <w:color w:val="000000"/>
          <w:sz w:val="24"/>
        </w:rPr>
        <w:t xml:space="preserve">, the International Youth Competition and </w:t>
      </w:r>
      <w:r w:rsidR="00684303" w:rsidRPr="00411CFF">
        <w:rPr>
          <w:rFonts w:ascii="Times New Roman" w:hAnsi="Times New Roman"/>
          <w:color w:val="000000"/>
          <w:sz w:val="24"/>
        </w:rPr>
        <w:t>competitions</w:t>
      </w:r>
      <w:r w:rsidRPr="00411CFF">
        <w:rPr>
          <w:rFonts w:ascii="Times New Roman" w:hAnsi="Times New Roman"/>
          <w:color w:val="000000"/>
          <w:sz w:val="24"/>
        </w:rPr>
        <w:t xml:space="preserve"> for </w:t>
      </w:r>
      <w:r w:rsidR="00D202B9">
        <w:rPr>
          <w:rFonts w:ascii="Times New Roman" w:hAnsi="Times New Roman"/>
          <w:color w:val="000000"/>
          <w:sz w:val="24"/>
        </w:rPr>
        <w:t>university</w:t>
      </w:r>
      <w:r w:rsidRPr="00D301E4">
        <w:rPr>
          <w:rFonts w:ascii="Times New Roman" w:hAnsi="Times New Roman"/>
          <w:color w:val="000000"/>
          <w:sz w:val="24"/>
        </w:rPr>
        <w:t xml:space="preserve"> students and </w:t>
      </w:r>
      <w:r w:rsidR="00F11337" w:rsidRPr="00411CFF">
        <w:rPr>
          <w:rFonts w:ascii="Times New Roman" w:hAnsi="Times New Roman"/>
          <w:color w:val="000000"/>
          <w:sz w:val="24"/>
        </w:rPr>
        <w:t>graduates</w:t>
      </w:r>
      <w:r w:rsidRPr="00411CFF">
        <w:rPr>
          <w:rFonts w:ascii="Times New Roman" w:hAnsi="Times New Roman"/>
          <w:color w:val="000000"/>
          <w:sz w:val="24"/>
        </w:rPr>
        <w:t xml:space="preserve"> </w:t>
      </w:r>
      <w:r w:rsidR="00684303" w:rsidRPr="00411CFF">
        <w:rPr>
          <w:rFonts w:ascii="Times New Roman" w:hAnsi="Times New Roman"/>
          <w:color w:val="000000"/>
          <w:sz w:val="24"/>
        </w:rPr>
        <w:t xml:space="preserve">have proven to be the most </w:t>
      </w:r>
      <w:r w:rsidR="00CA687D">
        <w:rPr>
          <w:rFonts w:ascii="Times New Roman" w:hAnsi="Times New Roman"/>
          <w:color w:val="000000"/>
          <w:sz w:val="24"/>
        </w:rPr>
        <w:t>successful</w:t>
      </w:r>
      <w:r w:rsidRPr="00411CFF">
        <w:rPr>
          <w:rFonts w:ascii="Times New Roman" w:hAnsi="Times New Roman"/>
          <w:color w:val="000000"/>
          <w:sz w:val="24"/>
        </w:rPr>
        <w:t xml:space="preserve">. In 2015/16, over 12,000 prospective international students from 31 countries and </w:t>
      </w:r>
      <w:r w:rsidR="00922953">
        <w:rPr>
          <w:rFonts w:ascii="Times New Roman" w:hAnsi="Times New Roman"/>
          <w:color w:val="000000"/>
          <w:sz w:val="24"/>
        </w:rPr>
        <w:t>63</w:t>
      </w:r>
      <w:r w:rsidRPr="00411CFF">
        <w:rPr>
          <w:rFonts w:ascii="Times New Roman" w:hAnsi="Times New Roman"/>
          <w:color w:val="000000"/>
          <w:sz w:val="24"/>
        </w:rPr>
        <w:t xml:space="preserve">,000 prospective students from </w:t>
      </w:r>
      <w:r w:rsidR="00684303" w:rsidRPr="00411CFF">
        <w:rPr>
          <w:rFonts w:ascii="Times New Roman" w:hAnsi="Times New Roman"/>
          <w:color w:val="000000"/>
          <w:sz w:val="24"/>
        </w:rPr>
        <w:t xml:space="preserve">all over Russia </w:t>
      </w:r>
      <w:r w:rsidRPr="00411CFF">
        <w:rPr>
          <w:rFonts w:ascii="Times New Roman" w:hAnsi="Times New Roman"/>
          <w:color w:val="000000"/>
          <w:sz w:val="24"/>
        </w:rPr>
        <w:t xml:space="preserve">took part in </w:t>
      </w:r>
      <w:r w:rsidR="00CA687D">
        <w:rPr>
          <w:rFonts w:ascii="Times New Roman" w:hAnsi="Times New Roman"/>
          <w:color w:val="000000"/>
          <w:sz w:val="24"/>
        </w:rPr>
        <w:t xml:space="preserve">the </w:t>
      </w:r>
      <w:r w:rsidRPr="00411CFF">
        <w:rPr>
          <w:rFonts w:ascii="Times New Roman" w:hAnsi="Times New Roman"/>
          <w:color w:val="000000"/>
          <w:sz w:val="24"/>
        </w:rPr>
        <w:t xml:space="preserve">HSE’s competitions. </w:t>
      </w:r>
      <w:r w:rsidR="00CA687D">
        <w:rPr>
          <w:rFonts w:ascii="Times New Roman" w:hAnsi="Times New Roman"/>
          <w:color w:val="000000"/>
          <w:sz w:val="24"/>
        </w:rPr>
        <w:t>In addition</w:t>
      </w:r>
      <w:r w:rsidR="00684303" w:rsidRPr="00411CFF">
        <w:rPr>
          <w:rFonts w:ascii="Times New Roman" w:hAnsi="Times New Roman"/>
          <w:color w:val="000000"/>
          <w:sz w:val="24"/>
        </w:rPr>
        <w:t xml:space="preserve">, the </w:t>
      </w:r>
      <w:r w:rsidRPr="00411CFF">
        <w:rPr>
          <w:rFonts w:ascii="Times New Roman" w:hAnsi="Times New Roman"/>
          <w:color w:val="000000"/>
          <w:sz w:val="24"/>
        </w:rPr>
        <w:t>International Youth Competition w</w:t>
      </w:r>
      <w:r w:rsidR="00922953">
        <w:rPr>
          <w:rFonts w:ascii="Times New Roman" w:hAnsi="Times New Roman"/>
          <w:color w:val="000000"/>
          <w:sz w:val="24"/>
        </w:rPr>
        <w:t>as</w:t>
      </w:r>
      <w:r w:rsidRPr="00411CFF">
        <w:rPr>
          <w:rFonts w:ascii="Times New Roman" w:hAnsi="Times New Roman"/>
          <w:color w:val="000000"/>
          <w:sz w:val="24"/>
        </w:rPr>
        <w:t xml:space="preserve"> held in Indonesia, Vietnam and Turkey</w:t>
      </w:r>
      <w:r w:rsidR="00CA687D">
        <w:rPr>
          <w:rFonts w:ascii="Times New Roman" w:hAnsi="Times New Roman"/>
          <w:color w:val="000000"/>
          <w:sz w:val="24"/>
        </w:rPr>
        <w:t xml:space="preserve"> </w:t>
      </w:r>
      <w:r w:rsidRPr="00411CFF">
        <w:rPr>
          <w:rFonts w:ascii="Times New Roman" w:hAnsi="Times New Roman"/>
          <w:color w:val="000000"/>
          <w:sz w:val="24"/>
        </w:rPr>
        <w:t>for the first time</w:t>
      </w:r>
      <w:r w:rsidR="00684303" w:rsidRPr="00411CFF">
        <w:rPr>
          <w:rFonts w:ascii="Times New Roman" w:hAnsi="Times New Roman"/>
          <w:color w:val="000000"/>
          <w:sz w:val="24"/>
        </w:rPr>
        <w:t xml:space="preserve"> ever</w:t>
      </w:r>
      <w:r w:rsidRPr="00411CFF">
        <w:rPr>
          <w:rFonts w:ascii="Times New Roman" w:hAnsi="Times New Roman"/>
          <w:color w:val="000000"/>
          <w:sz w:val="24"/>
        </w:rPr>
        <w:t xml:space="preserve">. </w:t>
      </w:r>
    </w:p>
    <w:p w14:paraId="2D3C7B1A" w14:textId="199F9893" w:rsidR="00F40E64" w:rsidRPr="00E61AC2" w:rsidRDefault="005672FA" w:rsidP="0051131B">
      <w:pPr>
        <w:spacing w:after="0"/>
        <w:ind w:firstLine="708"/>
        <w:jc w:val="both"/>
        <w:rPr>
          <w:rFonts w:ascii="Times New Roman" w:hAnsi="Times New Roman"/>
          <w:color w:val="000000"/>
          <w:sz w:val="24"/>
          <w:szCs w:val="24"/>
        </w:rPr>
      </w:pPr>
      <w:r w:rsidRPr="00411CFF">
        <w:rPr>
          <w:rFonts w:ascii="Times New Roman" w:hAnsi="Times New Roman"/>
          <w:color w:val="000000"/>
          <w:sz w:val="24"/>
        </w:rPr>
        <w:t xml:space="preserve">The </w:t>
      </w:r>
      <w:r w:rsidR="00F40E64" w:rsidRPr="00411CFF">
        <w:rPr>
          <w:rFonts w:ascii="Times New Roman" w:hAnsi="Times New Roman"/>
          <w:color w:val="000000"/>
          <w:sz w:val="24"/>
        </w:rPr>
        <w:t xml:space="preserve">HSE Lyceum (secondary school) </w:t>
      </w:r>
      <w:r w:rsidRPr="00411CFF">
        <w:rPr>
          <w:rFonts w:ascii="Times New Roman" w:hAnsi="Times New Roman"/>
          <w:color w:val="000000"/>
          <w:sz w:val="24"/>
        </w:rPr>
        <w:t xml:space="preserve">also plays a key role in </w:t>
      </w:r>
      <w:r w:rsidR="00F40E64" w:rsidRPr="00411CFF">
        <w:rPr>
          <w:rFonts w:ascii="Times New Roman" w:hAnsi="Times New Roman"/>
          <w:color w:val="000000"/>
          <w:sz w:val="24"/>
        </w:rPr>
        <w:t>attracting talented students</w:t>
      </w:r>
      <w:r w:rsidRPr="00411CFF">
        <w:rPr>
          <w:rFonts w:ascii="Times New Roman" w:hAnsi="Times New Roman"/>
          <w:color w:val="000000"/>
          <w:sz w:val="24"/>
        </w:rPr>
        <w:t>. It</w:t>
      </w:r>
      <w:r w:rsidR="00F40E64" w:rsidRPr="00411CFF">
        <w:rPr>
          <w:rFonts w:ascii="Times New Roman" w:hAnsi="Times New Roman"/>
          <w:color w:val="000000"/>
          <w:sz w:val="24"/>
        </w:rPr>
        <w:t xml:space="preserve"> offers courses in </w:t>
      </w:r>
      <w:r w:rsidR="00D64505" w:rsidRPr="00411CFF">
        <w:rPr>
          <w:rFonts w:ascii="Times New Roman" w:hAnsi="Times New Roman"/>
          <w:color w:val="000000"/>
          <w:sz w:val="24"/>
        </w:rPr>
        <w:t xml:space="preserve">eight major </w:t>
      </w:r>
      <w:r w:rsidR="00F40E64" w:rsidRPr="00411CFF">
        <w:rPr>
          <w:rFonts w:ascii="Times New Roman" w:hAnsi="Times New Roman"/>
          <w:color w:val="000000"/>
          <w:sz w:val="24"/>
        </w:rPr>
        <w:t xml:space="preserve">fields of study to 1,460 </w:t>
      </w:r>
      <w:r w:rsidR="00D64505" w:rsidRPr="00411CFF">
        <w:rPr>
          <w:rFonts w:ascii="Times New Roman" w:hAnsi="Times New Roman"/>
          <w:color w:val="000000"/>
          <w:sz w:val="24"/>
        </w:rPr>
        <w:t xml:space="preserve">senior high </w:t>
      </w:r>
      <w:r w:rsidR="00F40E64" w:rsidRPr="00411CFF">
        <w:rPr>
          <w:rFonts w:ascii="Times New Roman" w:hAnsi="Times New Roman"/>
          <w:color w:val="000000"/>
          <w:sz w:val="24"/>
        </w:rPr>
        <w:t xml:space="preserve">school students. In 2016, two new fields were launched </w:t>
      </w:r>
      <w:r w:rsidR="00CA687D">
        <w:rPr>
          <w:rFonts w:ascii="Times New Roman" w:hAnsi="Times New Roman"/>
          <w:color w:val="000000"/>
          <w:sz w:val="24"/>
        </w:rPr>
        <w:t>–</w:t>
      </w:r>
      <w:r w:rsidR="00F40E64" w:rsidRPr="00411CFF">
        <w:rPr>
          <w:rFonts w:ascii="Times New Roman" w:hAnsi="Times New Roman"/>
          <w:color w:val="000000"/>
          <w:sz w:val="24"/>
        </w:rPr>
        <w:t xml:space="preserve"> </w:t>
      </w:r>
      <w:r w:rsidR="00CA687D">
        <w:rPr>
          <w:rFonts w:ascii="Times New Roman" w:hAnsi="Times New Roman"/>
          <w:color w:val="000000"/>
          <w:sz w:val="24"/>
        </w:rPr>
        <w:t xml:space="preserve">(1) </w:t>
      </w:r>
      <w:r w:rsidR="00F40E64" w:rsidRPr="00411CFF">
        <w:rPr>
          <w:rFonts w:ascii="Times New Roman" w:hAnsi="Times New Roman"/>
          <w:color w:val="000000"/>
          <w:sz w:val="24"/>
        </w:rPr>
        <w:t>Psychology &amp; Social Sciences and Mathematics</w:t>
      </w:r>
      <w:r w:rsidR="00CA687D">
        <w:rPr>
          <w:rFonts w:ascii="Times New Roman" w:hAnsi="Times New Roman"/>
          <w:color w:val="000000"/>
          <w:sz w:val="24"/>
        </w:rPr>
        <w:t xml:space="preserve"> and</w:t>
      </w:r>
      <w:r w:rsidR="00F40E64" w:rsidRPr="00411CFF">
        <w:rPr>
          <w:rFonts w:ascii="Times New Roman" w:hAnsi="Times New Roman"/>
          <w:color w:val="000000"/>
          <w:sz w:val="24"/>
        </w:rPr>
        <w:t xml:space="preserve"> </w:t>
      </w:r>
      <w:r w:rsidR="00CA687D">
        <w:rPr>
          <w:rFonts w:ascii="Times New Roman" w:hAnsi="Times New Roman"/>
          <w:color w:val="000000"/>
          <w:sz w:val="24"/>
        </w:rPr>
        <w:t xml:space="preserve">(2) </w:t>
      </w:r>
      <w:r w:rsidR="00F40E64" w:rsidRPr="00411CFF">
        <w:rPr>
          <w:rFonts w:ascii="Times New Roman" w:hAnsi="Times New Roman"/>
          <w:color w:val="000000"/>
          <w:sz w:val="24"/>
        </w:rPr>
        <w:t xml:space="preserve">Informatics &amp; Engineering. </w:t>
      </w:r>
      <w:r w:rsidR="00DC1420" w:rsidRPr="00411CFF">
        <w:rPr>
          <w:rFonts w:ascii="Times New Roman" w:hAnsi="Times New Roman"/>
          <w:color w:val="000000"/>
          <w:sz w:val="24"/>
        </w:rPr>
        <w:t xml:space="preserve">The </w:t>
      </w:r>
      <w:r w:rsidR="00F40E64" w:rsidRPr="00411CFF">
        <w:rPr>
          <w:rFonts w:ascii="Times New Roman" w:hAnsi="Times New Roman"/>
          <w:color w:val="000000"/>
          <w:sz w:val="24"/>
        </w:rPr>
        <w:t xml:space="preserve">HSE Lyceum </w:t>
      </w:r>
      <w:r w:rsidR="00CA687D">
        <w:rPr>
          <w:rFonts w:ascii="Times New Roman" w:hAnsi="Times New Roman"/>
          <w:color w:val="000000"/>
          <w:sz w:val="24"/>
        </w:rPr>
        <w:t>is the second best school</w:t>
      </w:r>
      <w:r w:rsidR="00F40E64" w:rsidRPr="00411CFF">
        <w:rPr>
          <w:rFonts w:ascii="Times New Roman" w:hAnsi="Times New Roman"/>
          <w:color w:val="000000"/>
          <w:sz w:val="24"/>
        </w:rPr>
        <w:t xml:space="preserve"> in </w:t>
      </w:r>
      <w:r w:rsidR="00CA687D">
        <w:rPr>
          <w:rFonts w:ascii="Times New Roman" w:hAnsi="Times New Roman"/>
          <w:color w:val="000000"/>
          <w:sz w:val="24"/>
        </w:rPr>
        <w:t xml:space="preserve">Moscow and is ranked No.10 among all </w:t>
      </w:r>
      <w:r w:rsidR="00F40E64" w:rsidRPr="00411CFF">
        <w:rPr>
          <w:rFonts w:ascii="Times New Roman" w:hAnsi="Times New Roman"/>
          <w:color w:val="000000"/>
          <w:sz w:val="24"/>
        </w:rPr>
        <w:t>schools in Russia</w:t>
      </w:r>
      <w:r w:rsidR="00D64505" w:rsidRPr="00411CFF">
        <w:rPr>
          <w:rFonts w:ascii="Times New Roman" w:hAnsi="Times New Roman"/>
          <w:color w:val="000000"/>
          <w:sz w:val="24"/>
        </w:rPr>
        <w:t xml:space="preserve">. </w:t>
      </w:r>
      <w:r w:rsidR="00CA687D">
        <w:rPr>
          <w:rFonts w:ascii="Times New Roman" w:hAnsi="Times New Roman"/>
          <w:color w:val="000000"/>
          <w:sz w:val="24"/>
        </w:rPr>
        <w:t>It is also ranked</w:t>
      </w:r>
      <w:r w:rsidR="00F40E64" w:rsidRPr="00411CFF">
        <w:rPr>
          <w:rFonts w:ascii="Times New Roman" w:hAnsi="Times New Roman"/>
          <w:color w:val="000000"/>
          <w:sz w:val="24"/>
        </w:rPr>
        <w:t xml:space="preserve"> first among </w:t>
      </w:r>
      <w:r w:rsidR="008E52C7">
        <w:rPr>
          <w:rFonts w:ascii="Times New Roman" w:hAnsi="Times New Roman"/>
          <w:color w:val="000000"/>
          <w:sz w:val="24"/>
        </w:rPr>
        <w:t xml:space="preserve">secondary </w:t>
      </w:r>
      <w:r w:rsidR="008E52C7" w:rsidRPr="00411CFF">
        <w:rPr>
          <w:rFonts w:ascii="Times New Roman" w:hAnsi="Times New Roman"/>
          <w:color w:val="000000"/>
          <w:sz w:val="24"/>
        </w:rPr>
        <w:t xml:space="preserve">schools </w:t>
      </w:r>
      <w:r w:rsidR="00A41773">
        <w:rPr>
          <w:rFonts w:ascii="Times New Roman" w:hAnsi="Times New Roman"/>
          <w:color w:val="000000"/>
          <w:sz w:val="24"/>
        </w:rPr>
        <w:t xml:space="preserve">in the country </w:t>
      </w:r>
      <w:r w:rsidR="008E52C7">
        <w:rPr>
          <w:rFonts w:ascii="Times New Roman" w:hAnsi="Times New Roman"/>
          <w:color w:val="000000"/>
          <w:sz w:val="24"/>
        </w:rPr>
        <w:t xml:space="preserve">with a focus on social studies and </w:t>
      </w:r>
      <w:r w:rsidR="00F40E64" w:rsidRPr="00411CFF">
        <w:rPr>
          <w:rFonts w:ascii="Times New Roman" w:hAnsi="Times New Roman"/>
          <w:color w:val="000000"/>
          <w:sz w:val="24"/>
        </w:rPr>
        <w:t>economic</w:t>
      </w:r>
      <w:r w:rsidR="008E52C7">
        <w:rPr>
          <w:rFonts w:ascii="Times New Roman" w:hAnsi="Times New Roman"/>
          <w:color w:val="000000"/>
          <w:sz w:val="24"/>
        </w:rPr>
        <w:t>s</w:t>
      </w:r>
      <w:r w:rsidR="00F40E64" w:rsidRPr="00411CFF">
        <w:rPr>
          <w:rFonts w:ascii="Times New Roman" w:hAnsi="Times New Roman"/>
          <w:color w:val="000000"/>
          <w:sz w:val="24"/>
        </w:rPr>
        <w:t xml:space="preserve"> and </w:t>
      </w:r>
      <w:r w:rsidR="00BD3C81" w:rsidRPr="00411CFF">
        <w:rPr>
          <w:rFonts w:ascii="Times New Roman" w:hAnsi="Times New Roman"/>
          <w:color w:val="000000"/>
          <w:sz w:val="24"/>
        </w:rPr>
        <w:t>soci</w:t>
      </w:r>
      <w:r w:rsidR="008E52C7">
        <w:rPr>
          <w:rFonts w:ascii="Times New Roman" w:hAnsi="Times New Roman"/>
          <w:color w:val="000000"/>
          <w:sz w:val="24"/>
        </w:rPr>
        <w:t>al studies and humanities</w:t>
      </w:r>
      <w:r w:rsidR="00F40E64" w:rsidRPr="006C06DC">
        <w:rPr>
          <w:rFonts w:ascii="Times New Roman" w:hAnsi="Times New Roman"/>
          <w:color w:val="000000"/>
          <w:sz w:val="24"/>
        </w:rPr>
        <w:t>. The concept o</w:t>
      </w:r>
      <w:r w:rsidR="00F40E64" w:rsidRPr="006256D0">
        <w:rPr>
          <w:rFonts w:ascii="Times New Roman" w:hAnsi="Times New Roman"/>
          <w:color w:val="000000"/>
          <w:sz w:val="24"/>
        </w:rPr>
        <w:t xml:space="preserve">f </w:t>
      </w:r>
      <w:r w:rsidR="00DC2150" w:rsidRPr="00D301E4">
        <w:rPr>
          <w:rFonts w:ascii="Times New Roman" w:hAnsi="Times New Roman"/>
          <w:color w:val="000000"/>
          <w:sz w:val="24"/>
        </w:rPr>
        <w:t xml:space="preserve">the </w:t>
      </w:r>
      <w:r w:rsidR="00F40E64" w:rsidRPr="00D301E4">
        <w:rPr>
          <w:rFonts w:ascii="Times New Roman" w:hAnsi="Times New Roman"/>
          <w:color w:val="000000"/>
          <w:sz w:val="24"/>
        </w:rPr>
        <w:t xml:space="preserve">distributed HSE Lyceum </w:t>
      </w:r>
      <w:r w:rsidR="00F40E64" w:rsidRPr="00E61AC2">
        <w:rPr>
          <w:rFonts w:ascii="Times New Roman" w:hAnsi="Times New Roman"/>
          <w:color w:val="000000"/>
          <w:sz w:val="24"/>
        </w:rPr>
        <w:t xml:space="preserve">is based on </w:t>
      </w:r>
      <w:r w:rsidR="009F5441" w:rsidRPr="00411CFF">
        <w:rPr>
          <w:rFonts w:ascii="Times New Roman" w:hAnsi="Times New Roman"/>
          <w:color w:val="000000"/>
          <w:sz w:val="24"/>
        </w:rPr>
        <w:t xml:space="preserve">the university’s </w:t>
      </w:r>
      <w:r w:rsidR="00A24C10" w:rsidRPr="00411CFF">
        <w:rPr>
          <w:rFonts w:ascii="Times New Roman" w:hAnsi="Times New Roman"/>
          <w:color w:val="000000"/>
          <w:sz w:val="24"/>
        </w:rPr>
        <w:t>efforts to build</w:t>
      </w:r>
      <w:r w:rsidR="00F40E64" w:rsidRPr="00411CFF">
        <w:rPr>
          <w:rFonts w:ascii="Times New Roman" w:hAnsi="Times New Roman"/>
          <w:color w:val="000000"/>
          <w:sz w:val="24"/>
        </w:rPr>
        <w:t xml:space="preserve"> network communications with 25 secondary schools in Moscow. </w:t>
      </w:r>
      <w:r w:rsidR="00D778B1">
        <w:rPr>
          <w:rFonts w:ascii="Times New Roman" w:hAnsi="Times New Roman"/>
          <w:color w:val="000000"/>
          <w:sz w:val="24"/>
        </w:rPr>
        <w:t xml:space="preserve">The University offers methodology and </w:t>
      </w:r>
      <w:r w:rsidR="00D778B1">
        <w:rPr>
          <w:rFonts w:ascii="Times New Roman" w:hAnsi="Times New Roman"/>
          <w:color w:val="000000"/>
          <w:sz w:val="24"/>
        </w:rPr>
        <w:lastRenderedPageBreak/>
        <w:t>resource</w:t>
      </w:r>
      <w:r w:rsidR="00CA687D">
        <w:rPr>
          <w:rFonts w:ascii="Times New Roman" w:hAnsi="Times New Roman"/>
          <w:color w:val="000000"/>
          <w:sz w:val="24"/>
        </w:rPr>
        <w:t xml:space="preserve"> support</w:t>
      </w:r>
      <w:r w:rsidR="00D778B1">
        <w:rPr>
          <w:rFonts w:ascii="Times New Roman" w:hAnsi="Times New Roman"/>
          <w:color w:val="000000"/>
          <w:sz w:val="24"/>
        </w:rPr>
        <w:t xml:space="preserve"> to these schools, and a</w:t>
      </w:r>
      <w:r w:rsidR="00A24C10" w:rsidRPr="00D301E4">
        <w:rPr>
          <w:rFonts w:ascii="Times New Roman" w:hAnsi="Times New Roman"/>
          <w:color w:val="000000"/>
          <w:sz w:val="24"/>
        </w:rPr>
        <w:t xml:space="preserve">s </w:t>
      </w:r>
      <w:r w:rsidR="00A41773">
        <w:rPr>
          <w:rFonts w:ascii="Times New Roman" w:hAnsi="Times New Roman"/>
          <w:color w:val="000000"/>
          <w:sz w:val="24"/>
        </w:rPr>
        <w:t xml:space="preserve">a </w:t>
      </w:r>
      <w:r w:rsidR="00A24C10" w:rsidRPr="00D301E4">
        <w:rPr>
          <w:rFonts w:ascii="Times New Roman" w:hAnsi="Times New Roman"/>
          <w:color w:val="000000"/>
          <w:sz w:val="24"/>
        </w:rPr>
        <w:t xml:space="preserve">result, 1,524 </w:t>
      </w:r>
      <w:r w:rsidR="00F40E64" w:rsidRPr="00D301E4">
        <w:rPr>
          <w:rFonts w:ascii="Times New Roman" w:hAnsi="Times New Roman"/>
          <w:color w:val="000000"/>
          <w:sz w:val="24"/>
        </w:rPr>
        <w:t xml:space="preserve">students </w:t>
      </w:r>
      <w:r w:rsidR="00A24C10" w:rsidRPr="00411CFF">
        <w:rPr>
          <w:rFonts w:ascii="Times New Roman" w:hAnsi="Times New Roman"/>
          <w:color w:val="000000"/>
          <w:sz w:val="24"/>
        </w:rPr>
        <w:t xml:space="preserve">from </w:t>
      </w:r>
      <w:r w:rsidR="00F40E64" w:rsidRPr="00411CFF">
        <w:rPr>
          <w:rFonts w:ascii="Times New Roman" w:hAnsi="Times New Roman"/>
          <w:color w:val="000000"/>
          <w:sz w:val="24"/>
        </w:rPr>
        <w:t xml:space="preserve">partner schools </w:t>
      </w:r>
      <w:r w:rsidR="00CA687D">
        <w:rPr>
          <w:rFonts w:ascii="Times New Roman" w:hAnsi="Times New Roman"/>
          <w:color w:val="000000"/>
          <w:sz w:val="24"/>
        </w:rPr>
        <w:t>take</w:t>
      </w:r>
      <w:r w:rsidR="00F40E64" w:rsidRPr="00411CFF">
        <w:rPr>
          <w:rFonts w:ascii="Times New Roman" w:hAnsi="Times New Roman"/>
          <w:color w:val="000000"/>
          <w:sz w:val="24"/>
        </w:rPr>
        <w:t xml:space="preserve"> courses developed and implemented </w:t>
      </w:r>
      <w:r w:rsidR="00D778B1">
        <w:rPr>
          <w:rFonts w:ascii="Times New Roman" w:hAnsi="Times New Roman"/>
          <w:color w:val="000000"/>
          <w:sz w:val="24"/>
        </w:rPr>
        <w:t xml:space="preserve">in cooperation with HSE. </w:t>
      </w:r>
    </w:p>
    <w:p w14:paraId="044B672C" w14:textId="42B35E1F" w:rsidR="001D1957" w:rsidRPr="00411CFF" w:rsidRDefault="00F40E64" w:rsidP="0051131B">
      <w:pPr>
        <w:spacing w:after="0"/>
        <w:ind w:firstLine="709"/>
        <w:jc w:val="both"/>
        <w:rPr>
          <w:rFonts w:ascii="Times New Roman" w:hAnsi="Times New Roman"/>
          <w:color w:val="000000"/>
          <w:sz w:val="24"/>
        </w:rPr>
      </w:pPr>
      <w:r w:rsidRPr="00411CFF">
        <w:rPr>
          <w:rFonts w:ascii="Times New Roman" w:hAnsi="Times New Roman"/>
          <w:color w:val="000000"/>
          <w:sz w:val="24"/>
        </w:rPr>
        <w:t xml:space="preserve">HSE </w:t>
      </w:r>
      <w:r w:rsidR="0017122F">
        <w:rPr>
          <w:rFonts w:ascii="Times New Roman" w:hAnsi="Times New Roman"/>
          <w:color w:val="000000"/>
          <w:sz w:val="24"/>
        </w:rPr>
        <w:t xml:space="preserve">continues to provide </w:t>
      </w:r>
      <w:r w:rsidRPr="00E61AC2">
        <w:rPr>
          <w:rFonts w:ascii="Times New Roman" w:hAnsi="Times New Roman"/>
          <w:color w:val="000000"/>
          <w:sz w:val="24"/>
        </w:rPr>
        <w:t xml:space="preserve">services for international students </w:t>
      </w:r>
      <w:r w:rsidR="00E60033">
        <w:rPr>
          <w:rFonts w:ascii="Times New Roman" w:hAnsi="Times New Roman"/>
          <w:color w:val="000000"/>
          <w:sz w:val="24"/>
        </w:rPr>
        <w:t>to help them adapt culturally and academically</w:t>
      </w:r>
      <w:r w:rsidR="0017122F">
        <w:rPr>
          <w:rFonts w:ascii="Times New Roman" w:hAnsi="Times New Roman"/>
          <w:color w:val="000000"/>
          <w:sz w:val="24"/>
        </w:rPr>
        <w:t xml:space="preserve">: in 2016, </w:t>
      </w:r>
      <w:r w:rsidR="00AD107E" w:rsidRPr="00411CFF">
        <w:rPr>
          <w:rFonts w:ascii="Times New Roman" w:hAnsi="Times New Roman"/>
          <w:color w:val="000000"/>
          <w:sz w:val="24"/>
        </w:rPr>
        <w:t xml:space="preserve">806 </w:t>
      </w:r>
      <w:r w:rsidRPr="00411CFF">
        <w:rPr>
          <w:rFonts w:ascii="Times New Roman" w:hAnsi="Times New Roman"/>
          <w:color w:val="000000"/>
          <w:sz w:val="24"/>
        </w:rPr>
        <w:t xml:space="preserve">international students </w:t>
      </w:r>
      <w:r w:rsidR="00E60033">
        <w:rPr>
          <w:rFonts w:ascii="Times New Roman" w:hAnsi="Times New Roman"/>
          <w:color w:val="000000"/>
          <w:sz w:val="24"/>
        </w:rPr>
        <w:t xml:space="preserve">received </w:t>
      </w:r>
      <w:r w:rsidRPr="00411CFF">
        <w:rPr>
          <w:rFonts w:ascii="Times New Roman" w:hAnsi="Times New Roman"/>
          <w:color w:val="000000"/>
          <w:sz w:val="24"/>
        </w:rPr>
        <w:t>counselling.</w:t>
      </w:r>
    </w:p>
    <w:p w14:paraId="5BC1A47A" w14:textId="77777777" w:rsidR="00F40E64" w:rsidRPr="00411CFF" w:rsidRDefault="00F40E64" w:rsidP="0051131B">
      <w:pPr>
        <w:spacing w:after="0"/>
        <w:ind w:firstLine="709"/>
        <w:jc w:val="both"/>
        <w:rPr>
          <w:rFonts w:ascii="Times New Roman" w:hAnsi="Times New Roman"/>
          <w:color w:val="000000"/>
          <w:sz w:val="24"/>
          <w:szCs w:val="24"/>
        </w:rPr>
      </w:pPr>
    </w:p>
    <w:p w14:paraId="2ECFBD94" w14:textId="77777777" w:rsidR="00F40E64" w:rsidRPr="00D301E4" w:rsidRDefault="00F40E64" w:rsidP="0051131B">
      <w:pPr>
        <w:spacing w:after="0" w:line="312" w:lineRule="auto"/>
        <w:ind w:firstLine="709"/>
        <w:jc w:val="both"/>
        <w:rPr>
          <w:rFonts w:ascii="Times New Roman" w:hAnsi="Times New Roman"/>
          <w:b/>
          <w:sz w:val="24"/>
          <w:szCs w:val="24"/>
        </w:rPr>
      </w:pPr>
      <w:r w:rsidRPr="00411CFF">
        <w:rPr>
          <w:rFonts w:ascii="Times New Roman" w:hAnsi="Times New Roman"/>
          <w:b/>
          <w:sz w:val="24"/>
          <w:szCs w:val="24"/>
        </w:rPr>
        <w:t xml:space="preserve">Strategic Initiative No. 4: </w:t>
      </w:r>
      <w:r w:rsidRPr="00D301E4">
        <w:rPr>
          <w:rFonts w:ascii="Times New Roman" w:hAnsi="Times New Roman"/>
          <w:b/>
          <w:sz w:val="24"/>
          <w:szCs w:val="24"/>
          <w:lang w:val="en-US"/>
        </w:rPr>
        <w:t xml:space="preserve">Faculty and Staff for a Research </w:t>
      </w:r>
      <w:r w:rsidRPr="00D301E4">
        <w:rPr>
          <w:rFonts w:ascii="Times New Roman" w:hAnsi="Times New Roman"/>
          <w:b/>
          <w:sz w:val="24"/>
          <w:szCs w:val="24"/>
        </w:rPr>
        <w:t>University</w:t>
      </w:r>
    </w:p>
    <w:p w14:paraId="72A8A7C3" w14:textId="6297DCBF" w:rsidR="00F40E64" w:rsidRPr="00411CFF" w:rsidRDefault="00F40E64" w:rsidP="0051131B">
      <w:pPr>
        <w:spacing w:after="0" w:line="312" w:lineRule="auto"/>
        <w:ind w:firstLine="709"/>
        <w:jc w:val="both"/>
        <w:rPr>
          <w:rFonts w:ascii="Times New Roman" w:hAnsi="Times New Roman"/>
          <w:color w:val="000000"/>
          <w:sz w:val="24"/>
          <w:szCs w:val="24"/>
          <w:lang w:val="en-US"/>
        </w:rPr>
      </w:pPr>
      <w:r w:rsidRPr="00D301E4">
        <w:rPr>
          <w:rFonts w:ascii="Times New Roman" w:hAnsi="Times New Roman"/>
          <w:color w:val="000000"/>
          <w:sz w:val="24"/>
          <w:szCs w:val="24"/>
          <w:lang w:val="en-US"/>
        </w:rPr>
        <w:t>HSE</w:t>
      </w:r>
      <w:r w:rsidR="00AD107E" w:rsidRPr="00411CFF">
        <w:rPr>
          <w:rFonts w:ascii="Times New Roman" w:hAnsi="Times New Roman"/>
          <w:color w:val="000000"/>
          <w:sz w:val="24"/>
          <w:szCs w:val="24"/>
          <w:lang w:val="en-US"/>
        </w:rPr>
        <w:t>’s</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HR</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policy</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aims at</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recruiting</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leading</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scholars</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as</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well</w:t>
      </w:r>
      <w:r w:rsidRPr="00411CFF">
        <w:rPr>
          <w:rFonts w:ascii="Times New Roman" w:hAnsi="Times New Roman"/>
          <w:color w:val="000000"/>
          <w:sz w:val="24"/>
          <w:szCs w:val="24"/>
        </w:rPr>
        <w:t xml:space="preserve"> </w:t>
      </w:r>
      <w:r w:rsidRPr="00411CFF">
        <w:rPr>
          <w:rFonts w:ascii="Times New Roman" w:hAnsi="Times New Roman"/>
          <w:color w:val="000000"/>
          <w:sz w:val="24"/>
          <w:szCs w:val="24"/>
          <w:lang w:val="en-US"/>
        </w:rPr>
        <w:t>as</w:t>
      </w:r>
      <w:r w:rsidRPr="00411CFF">
        <w:rPr>
          <w:rFonts w:ascii="Times New Roman" w:hAnsi="Times New Roman"/>
          <w:color w:val="000000"/>
          <w:sz w:val="24"/>
          <w:szCs w:val="24"/>
        </w:rPr>
        <w:t xml:space="preserve"> </w:t>
      </w:r>
      <w:r w:rsidR="00FF61F9">
        <w:rPr>
          <w:rFonts w:ascii="Times New Roman" w:hAnsi="Times New Roman"/>
          <w:color w:val="000000"/>
          <w:sz w:val="24"/>
          <w:szCs w:val="24"/>
        </w:rPr>
        <w:t xml:space="preserve">talented </w:t>
      </w:r>
      <w:r w:rsidRPr="00411CFF">
        <w:rPr>
          <w:rFonts w:ascii="Times New Roman" w:hAnsi="Times New Roman"/>
          <w:color w:val="000000"/>
          <w:sz w:val="24"/>
          <w:szCs w:val="24"/>
          <w:lang w:val="en-US"/>
        </w:rPr>
        <w:t xml:space="preserve">young </w:t>
      </w:r>
      <w:r w:rsidR="00FF61F9">
        <w:rPr>
          <w:rFonts w:ascii="Times New Roman" w:hAnsi="Times New Roman"/>
          <w:color w:val="000000"/>
          <w:sz w:val="24"/>
          <w:szCs w:val="24"/>
          <w:lang w:val="en-US"/>
        </w:rPr>
        <w:t>scholar</w:t>
      </w:r>
      <w:r w:rsidR="00FF61F9" w:rsidRPr="00411CFF">
        <w:rPr>
          <w:rFonts w:ascii="Times New Roman" w:hAnsi="Times New Roman"/>
          <w:color w:val="000000"/>
          <w:sz w:val="24"/>
          <w:szCs w:val="24"/>
          <w:lang w:val="en-US"/>
        </w:rPr>
        <w:t xml:space="preserve">s </w:t>
      </w:r>
      <w:r w:rsidRPr="00411CFF">
        <w:rPr>
          <w:rFonts w:ascii="Times New Roman" w:hAnsi="Times New Roman"/>
          <w:color w:val="000000"/>
          <w:sz w:val="24"/>
          <w:szCs w:val="24"/>
          <w:lang w:val="en-US"/>
        </w:rPr>
        <w:t>from</w:t>
      </w:r>
      <w:r w:rsidR="00EF5143" w:rsidRPr="00411CFF">
        <w:rPr>
          <w:rFonts w:ascii="Times New Roman" w:hAnsi="Times New Roman"/>
          <w:color w:val="000000"/>
          <w:sz w:val="24"/>
          <w:szCs w:val="24"/>
          <w:lang w:val="en-US"/>
        </w:rPr>
        <w:t xml:space="preserve"> </w:t>
      </w:r>
      <w:r w:rsidRPr="00411CFF">
        <w:rPr>
          <w:rFonts w:ascii="Times New Roman" w:hAnsi="Times New Roman"/>
          <w:color w:val="000000"/>
          <w:sz w:val="24"/>
          <w:szCs w:val="24"/>
          <w:lang w:val="en-US"/>
        </w:rPr>
        <w:t>national and international academic market</w:t>
      </w:r>
      <w:r w:rsidR="008C0CB8" w:rsidRPr="00411CFF">
        <w:rPr>
          <w:rFonts w:ascii="Times New Roman" w:hAnsi="Times New Roman"/>
          <w:color w:val="000000"/>
          <w:sz w:val="24"/>
          <w:szCs w:val="24"/>
          <w:lang w:val="en-US"/>
        </w:rPr>
        <w:t>s</w:t>
      </w:r>
      <w:r w:rsidRPr="00411CFF">
        <w:rPr>
          <w:rFonts w:ascii="Times New Roman" w:hAnsi="Times New Roman"/>
          <w:color w:val="000000"/>
          <w:sz w:val="24"/>
          <w:szCs w:val="24"/>
          <w:lang w:val="en-US"/>
        </w:rPr>
        <w:t xml:space="preserve">. </w:t>
      </w:r>
      <w:r w:rsidR="00FF61F9">
        <w:rPr>
          <w:rFonts w:ascii="Times New Roman" w:hAnsi="Times New Roman"/>
          <w:color w:val="000000"/>
          <w:sz w:val="24"/>
          <w:szCs w:val="24"/>
          <w:lang w:val="en-US"/>
        </w:rPr>
        <w:t>The goal is to</w:t>
      </w:r>
      <w:r w:rsidRPr="00411CFF">
        <w:rPr>
          <w:rFonts w:ascii="Times New Roman" w:hAnsi="Times New Roman"/>
          <w:color w:val="000000"/>
          <w:sz w:val="24"/>
          <w:szCs w:val="24"/>
          <w:lang w:val="en-US"/>
        </w:rPr>
        <w:t xml:space="preserve"> boost </w:t>
      </w:r>
      <w:r w:rsidR="00EF5143" w:rsidRPr="00411CFF">
        <w:rPr>
          <w:rFonts w:ascii="Times New Roman" w:hAnsi="Times New Roman"/>
          <w:color w:val="000000"/>
          <w:sz w:val="24"/>
          <w:szCs w:val="24"/>
          <w:lang w:val="en-US"/>
        </w:rPr>
        <w:t>the quality of</w:t>
      </w:r>
      <w:r w:rsidRPr="00411CFF">
        <w:rPr>
          <w:rFonts w:ascii="Times New Roman" w:hAnsi="Times New Roman"/>
          <w:color w:val="000000"/>
          <w:sz w:val="24"/>
          <w:szCs w:val="24"/>
          <w:lang w:val="en-US"/>
        </w:rPr>
        <w:t xml:space="preserve"> teaching and research produced by each academic staff member</w:t>
      </w:r>
      <w:r w:rsidR="00FF61F9">
        <w:rPr>
          <w:rFonts w:ascii="Times New Roman" w:hAnsi="Times New Roman"/>
          <w:color w:val="000000"/>
          <w:sz w:val="24"/>
          <w:szCs w:val="24"/>
          <w:lang w:val="en-US"/>
        </w:rPr>
        <w:t xml:space="preserve"> to</w:t>
      </w:r>
      <w:r w:rsidRPr="00411CFF">
        <w:rPr>
          <w:rFonts w:ascii="Times New Roman" w:hAnsi="Times New Roman"/>
          <w:color w:val="000000"/>
          <w:sz w:val="24"/>
          <w:szCs w:val="24"/>
          <w:lang w:val="en-US"/>
        </w:rPr>
        <w:t xml:space="preserve"> bring it in line with </w:t>
      </w:r>
      <w:r w:rsidR="00EF5143" w:rsidRPr="00411CFF">
        <w:rPr>
          <w:rFonts w:ascii="Times New Roman" w:hAnsi="Times New Roman"/>
          <w:color w:val="000000"/>
          <w:sz w:val="24"/>
          <w:szCs w:val="24"/>
          <w:lang w:val="en-US"/>
        </w:rPr>
        <w:t xml:space="preserve">global </w:t>
      </w:r>
      <w:r w:rsidRPr="00411CFF">
        <w:rPr>
          <w:rFonts w:ascii="Times New Roman" w:hAnsi="Times New Roman"/>
          <w:color w:val="000000"/>
          <w:sz w:val="24"/>
          <w:szCs w:val="24"/>
          <w:lang w:val="en-US"/>
        </w:rPr>
        <w:t>standards</w:t>
      </w:r>
      <w:r w:rsidR="00EF5143" w:rsidRPr="00411CFF">
        <w:rPr>
          <w:rFonts w:ascii="Times New Roman" w:hAnsi="Times New Roman"/>
          <w:color w:val="000000"/>
          <w:sz w:val="24"/>
          <w:szCs w:val="24"/>
          <w:lang w:val="en-US"/>
        </w:rPr>
        <w:t xml:space="preserve"> and best practices</w:t>
      </w:r>
      <w:r w:rsidRPr="00411CFF">
        <w:rPr>
          <w:rFonts w:ascii="Times New Roman" w:hAnsi="Times New Roman"/>
          <w:color w:val="000000"/>
          <w:sz w:val="24"/>
          <w:szCs w:val="24"/>
          <w:lang w:val="en-US"/>
        </w:rPr>
        <w:t>. In 2016, 24 faculty members and 20 post-doctoral fellows were hired through</w:t>
      </w:r>
      <w:r w:rsidR="00B24AA6" w:rsidRPr="00411CFF">
        <w:rPr>
          <w:rFonts w:ascii="Times New Roman" w:hAnsi="Times New Roman"/>
          <w:color w:val="000000"/>
          <w:sz w:val="24"/>
          <w:szCs w:val="24"/>
          <w:lang w:val="en-US"/>
        </w:rPr>
        <w:t xml:space="preserve"> the </w:t>
      </w:r>
      <w:r w:rsidR="00890EF7" w:rsidRPr="00411CFF">
        <w:rPr>
          <w:rFonts w:ascii="Times New Roman" w:hAnsi="Times New Roman"/>
          <w:color w:val="000000"/>
          <w:sz w:val="24"/>
          <w:szCs w:val="24"/>
          <w:lang w:val="en-US"/>
        </w:rPr>
        <w:t>university’s</w:t>
      </w:r>
      <w:r w:rsidRPr="00411CFF">
        <w:rPr>
          <w:rFonts w:ascii="Times New Roman" w:hAnsi="Times New Roman"/>
          <w:color w:val="000000"/>
          <w:sz w:val="24"/>
          <w:szCs w:val="24"/>
          <w:lang w:val="en-US"/>
        </w:rPr>
        <w:t xml:space="preserve"> international recruitment procedure. A total of 289 international academic staff members and Russian specialists with PhDs from international universities are currently employed </w:t>
      </w:r>
      <w:r w:rsidR="00FF61F9">
        <w:rPr>
          <w:rFonts w:ascii="Times New Roman" w:hAnsi="Times New Roman"/>
          <w:color w:val="000000"/>
          <w:sz w:val="24"/>
          <w:szCs w:val="24"/>
          <w:lang w:val="en-US"/>
        </w:rPr>
        <w:t>by</w:t>
      </w:r>
      <w:r w:rsidRPr="00411CFF">
        <w:rPr>
          <w:rFonts w:ascii="Times New Roman" w:hAnsi="Times New Roman"/>
          <w:color w:val="000000"/>
          <w:sz w:val="24"/>
          <w:szCs w:val="24"/>
          <w:lang w:val="en-US"/>
        </w:rPr>
        <w:t xml:space="preserve"> HSE</w:t>
      </w:r>
      <w:r w:rsidR="00FF61F9">
        <w:rPr>
          <w:rFonts w:ascii="Times New Roman" w:hAnsi="Times New Roman"/>
          <w:color w:val="000000"/>
          <w:sz w:val="24"/>
          <w:szCs w:val="24"/>
          <w:lang w:val="en-US"/>
        </w:rPr>
        <w:t>, compared to</w:t>
      </w:r>
      <w:r w:rsidRPr="00411CFF">
        <w:rPr>
          <w:rFonts w:ascii="Times New Roman" w:hAnsi="Times New Roman"/>
          <w:color w:val="000000"/>
          <w:sz w:val="24"/>
          <w:szCs w:val="24"/>
          <w:lang w:val="en-US"/>
        </w:rPr>
        <w:t xml:space="preserve"> 170 in 2014</w:t>
      </w:r>
      <w:r w:rsidR="00FF61F9">
        <w:rPr>
          <w:rFonts w:ascii="Times New Roman" w:hAnsi="Times New Roman"/>
          <w:color w:val="000000"/>
          <w:sz w:val="24"/>
          <w:szCs w:val="24"/>
          <w:lang w:val="en-US"/>
        </w:rPr>
        <w:t>, a 70 percent increase</w:t>
      </w:r>
      <w:r w:rsidRPr="00411CFF">
        <w:rPr>
          <w:rFonts w:ascii="Times New Roman" w:hAnsi="Times New Roman"/>
          <w:color w:val="000000"/>
          <w:sz w:val="24"/>
          <w:szCs w:val="24"/>
          <w:lang w:val="en-US"/>
        </w:rPr>
        <w:t>.</w:t>
      </w:r>
    </w:p>
    <w:p w14:paraId="4B38CB3E" w14:textId="6144B1E7" w:rsidR="00F40E64" w:rsidRPr="00411CFF" w:rsidRDefault="00FF61F9" w:rsidP="0051131B">
      <w:pPr>
        <w:spacing w:after="0" w:line="312"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Since </w:t>
      </w:r>
      <w:r w:rsidR="00F40E64" w:rsidRPr="00411CFF">
        <w:rPr>
          <w:rFonts w:ascii="Times New Roman" w:hAnsi="Times New Roman"/>
          <w:color w:val="000000"/>
          <w:sz w:val="24"/>
          <w:szCs w:val="24"/>
          <w:lang w:val="en-US"/>
        </w:rPr>
        <w:t xml:space="preserve">2014, </w:t>
      </w:r>
      <w:r w:rsidR="00590647" w:rsidRPr="00411CFF">
        <w:rPr>
          <w:rFonts w:ascii="Times New Roman" w:hAnsi="Times New Roman"/>
          <w:color w:val="000000"/>
          <w:sz w:val="24"/>
          <w:szCs w:val="24"/>
          <w:lang w:val="en-US"/>
        </w:rPr>
        <w:t>HSE</w:t>
      </w:r>
      <w:r w:rsidR="00F40E64" w:rsidRPr="00411CFF">
        <w:rPr>
          <w:rFonts w:ascii="Times New Roman" w:hAnsi="Times New Roman"/>
          <w:color w:val="000000"/>
          <w:sz w:val="24"/>
          <w:szCs w:val="24"/>
          <w:lang w:val="en-US"/>
        </w:rPr>
        <w:t xml:space="preserve"> has been hiring faculty through open </w:t>
      </w:r>
      <w:r>
        <w:rPr>
          <w:rFonts w:ascii="Times New Roman" w:hAnsi="Times New Roman"/>
          <w:color w:val="000000"/>
          <w:sz w:val="24"/>
          <w:szCs w:val="24"/>
          <w:lang w:val="en-US"/>
        </w:rPr>
        <w:t>competition</w:t>
      </w:r>
      <w:r w:rsidR="00967887" w:rsidRPr="00411CFF">
        <w:rPr>
          <w:rFonts w:ascii="Times New Roman" w:hAnsi="Times New Roman"/>
          <w:color w:val="000000"/>
          <w:sz w:val="24"/>
          <w:szCs w:val="24"/>
          <w:lang w:val="en-US"/>
        </w:rPr>
        <w:t xml:space="preserve">. </w:t>
      </w:r>
      <w:r>
        <w:rPr>
          <w:rFonts w:ascii="Times New Roman" w:hAnsi="Times New Roman"/>
          <w:color w:val="000000"/>
          <w:sz w:val="24"/>
          <w:szCs w:val="24"/>
          <w:lang w:val="en-US"/>
        </w:rPr>
        <w:t>Nearly</w:t>
      </w:r>
      <w:r w:rsidR="00F40E64" w:rsidRPr="00411CFF">
        <w:rPr>
          <w:rFonts w:ascii="Times New Roman" w:hAnsi="Times New Roman"/>
          <w:color w:val="000000"/>
          <w:sz w:val="24"/>
          <w:szCs w:val="24"/>
          <w:lang w:val="en-US"/>
        </w:rPr>
        <w:t xml:space="preserve"> 30% of candidates </w:t>
      </w:r>
      <w:r w:rsidR="00967887" w:rsidRPr="00411CFF">
        <w:rPr>
          <w:rFonts w:ascii="Times New Roman" w:hAnsi="Times New Roman"/>
          <w:color w:val="000000"/>
          <w:sz w:val="24"/>
          <w:szCs w:val="24"/>
          <w:lang w:val="en-US"/>
        </w:rPr>
        <w:t xml:space="preserve">have </w:t>
      </w:r>
      <w:r w:rsidR="00EE28D4" w:rsidRPr="00411CFF">
        <w:rPr>
          <w:rFonts w:ascii="Times New Roman" w:hAnsi="Times New Roman"/>
          <w:color w:val="000000"/>
          <w:sz w:val="24"/>
          <w:szCs w:val="24"/>
          <w:lang w:val="en-US"/>
        </w:rPr>
        <w:t>arrived</w:t>
      </w:r>
      <w:r w:rsidR="00967887" w:rsidRPr="00411CFF">
        <w:rPr>
          <w:rFonts w:ascii="Times New Roman" w:hAnsi="Times New Roman"/>
          <w:color w:val="000000"/>
          <w:sz w:val="24"/>
          <w:szCs w:val="24"/>
          <w:lang w:val="en-US"/>
        </w:rPr>
        <w:t xml:space="preserve"> from</w:t>
      </w:r>
      <w:r w:rsidR="008C0CB8" w:rsidRPr="00411CFF">
        <w:rPr>
          <w:rFonts w:ascii="Times New Roman" w:hAnsi="Times New Roman"/>
          <w:color w:val="000000"/>
          <w:sz w:val="24"/>
          <w:szCs w:val="24"/>
          <w:lang w:val="en-US"/>
        </w:rPr>
        <w:t xml:space="preserve"> other</w:t>
      </w:r>
      <w:r w:rsidR="00F40E64" w:rsidRPr="00411CFF">
        <w:rPr>
          <w:rFonts w:ascii="Times New Roman" w:hAnsi="Times New Roman"/>
          <w:color w:val="000000"/>
          <w:sz w:val="24"/>
          <w:szCs w:val="24"/>
          <w:lang w:val="en-US"/>
        </w:rPr>
        <w:t xml:space="preserve"> institutions, thus ensuring </w:t>
      </w:r>
      <w:r>
        <w:rPr>
          <w:rFonts w:ascii="Times New Roman" w:hAnsi="Times New Roman"/>
          <w:color w:val="000000"/>
          <w:sz w:val="24"/>
          <w:szCs w:val="24"/>
          <w:lang w:val="en-US"/>
        </w:rPr>
        <w:t>high</w:t>
      </w:r>
      <w:r w:rsidRPr="00411CFF">
        <w:rPr>
          <w:rFonts w:ascii="Times New Roman" w:hAnsi="Times New Roman"/>
          <w:color w:val="000000"/>
          <w:sz w:val="24"/>
          <w:szCs w:val="24"/>
          <w:lang w:val="en-US"/>
        </w:rPr>
        <w:t xml:space="preserve"> </w:t>
      </w:r>
      <w:r w:rsidR="00F40E64" w:rsidRPr="00411CFF">
        <w:rPr>
          <w:rFonts w:ascii="Times New Roman" w:hAnsi="Times New Roman"/>
          <w:color w:val="000000"/>
          <w:sz w:val="24"/>
          <w:szCs w:val="24"/>
          <w:lang w:val="en-US"/>
        </w:rPr>
        <w:t xml:space="preserve">competition among prospective faculty members. The competitive selection procedures </w:t>
      </w:r>
      <w:r w:rsidR="00967887" w:rsidRPr="00411CFF">
        <w:rPr>
          <w:rFonts w:ascii="Times New Roman" w:hAnsi="Times New Roman"/>
          <w:color w:val="000000"/>
          <w:sz w:val="24"/>
          <w:szCs w:val="24"/>
          <w:lang w:val="en-US"/>
        </w:rPr>
        <w:t>employed at</w:t>
      </w:r>
      <w:r w:rsidR="00F40E64" w:rsidRPr="00411CFF">
        <w:rPr>
          <w:rFonts w:ascii="Times New Roman" w:hAnsi="Times New Roman"/>
          <w:color w:val="000000"/>
          <w:sz w:val="24"/>
          <w:szCs w:val="24"/>
          <w:lang w:val="en-US"/>
        </w:rPr>
        <w:t xml:space="preserve"> HSE </w:t>
      </w:r>
      <w:r>
        <w:rPr>
          <w:rFonts w:ascii="Times New Roman" w:hAnsi="Times New Roman"/>
          <w:color w:val="000000"/>
          <w:sz w:val="24"/>
          <w:szCs w:val="24"/>
          <w:lang w:val="en-US"/>
        </w:rPr>
        <w:t>follow</w:t>
      </w:r>
      <w:r w:rsidR="00967887" w:rsidRPr="00411CFF">
        <w:rPr>
          <w:rFonts w:ascii="Times New Roman" w:hAnsi="Times New Roman"/>
          <w:color w:val="000000"/>
          <w:sz w:val="24"/>
          <w:szCs w:val="24"/>
          <w:lang w:val="en-US"/>
        </w:rPr>
        <w:t xml:space="preserve"> global</w:t>
      </w:r>
      <w:r w:rsidR="00F40E64" w:rsidRPr="00411CFF">
        <w:rPr>
          <w:rFonts w:ascii="Times New Roman" w:hAnsi="Times New Roman"/>
          <w:color w:val="000000"/>
          <w:sz w:val="24"/>
          <w:szCs w:val="24"/>
          <w:lang w:val="en-US"/>
        </w:rPr>
        <w:t xml:space="preserve"> standards</w:t>
      </w:r>
      <w:r w:rsidR="00967887" w:rsidRPr="00411CFF">
        <w:rPr>
          <w:rFonts w:ascii="Times New Roman" w:hAnsi="Times New Roman"/>
          <w:color w:val="000000"/>
          <w:sz w:val="24"/>
          <w:szCs w:val="24"/>
          <w:lang w:val="en-US"/>
        </w:rPr>
        <w:t xml:space="preserve"> and best practices</w:t>
      </w:r>
      <w:r w:rsidR="00F40E64" w:rsidRPr="00411CFF">
        <w:rPr>
          <w:rFonts w:ascii="Times New Roman" w:hAnsi="Times New Roman"/>
          <w:color w:val="000000"/>
          <w:sz w:val="24"/>
          <w:szCs w:val="24"/>
          <w:lang w:val="en-US"/>
        </w:rPr>
        <w:t xml:space="preserve"> (</w:t>
      </w:r>
      <w:r w:rsidR="00967887" w:rsidRPr="00411CFF">
        <w:rPr>
          <w:rFonts w:ascii="Times New Roman" w:hAnsi="Times New Roman"/>
          <w:color w:val="000000"/>
          <w:sz w:val="24"/>
          <w:szCs w:val="24"/>
          <w:lang w:val="en-US"/>
        </w:rPr>
        <w:t xml:space="preserve">e.g., </w:t>
      </w:r>
      <w:r w:rsidR="00F40E64" w:rsidRPr="00411CFF">
        <w:rPr>
          <w:rFonts w:ascii="Times New Roman" w:hAnsi="Times New Roman"/>
          <w:color w:val="000000"/>
          <w:sz w:val="24"/>
          <w:szCs w:val="24"/>
          <w:lang w:val="en-US"/>
        </w:rPr>
        <w:t>expert evaluation of the candidates’ academic papers</w:t>
      </w:r>
      <w:r w:rsidR="00A41773">
        <w:rPr>
          <w:rFonts w:ascii="Times New Roman" w:hAnsi="Times New Roman"/>
          <w:color w:val="000000"/>
          <w:sz w:val="24"/>
          <w:szCs w:val="24"/>
          <w:lang w:val="en-US"/>
        </w:rPr>
        <w:t xml:space="preserve"> and </w:t>
      </w:r>
      <w:r w:rsidR="00F40E64" w:rsidRPr="00411CFF">
        <w:rPr>
          <w:rFonts w:ascii="Times New Roman" w:hAnsi="Times New Roman"/>
          <w:color w:val="000000"/>
          <w:sz w:val="24"/>
          <w:szCs w:val="24"/>
          <w:lang w:val="en-US"/>
        </w:rPr>
        <w:t xml:space="preserve">research, open lectures by candidates and face-to-face interviews). </w:t>
      </w:r>
    </w:p>
    <w:p w14:paraId="5CD9D679" w14:textId="35997DF3" w:rsidR="00F40E64" w:rsidRPr="00411CFF" w:rsidRDefault="00E31A8A" w:rsidP="0051131B">
      <w:pPr>
        <w:spacing w:after="0" w:line="312" w:lineRule="auto"/>
        <w:ind w:firstLine="709"/>
        <w:jc w:val="both"/>
        <w:rPr>
          <w:rFonts w:ascii="Times New Roman" w:hAnsi="Times New Roman"/>
          <w:sz w:val="24"/>
          <w:szCs w:val="24"/>
        </w:rPr>
      </w:pPr>
      <w:r w:rsidRPr="00411CFF">
        <w:rPr>
          <w:rFonts w:ascii="Times New Roman" w:hAnsi="Times New Roman"/>
          <w:sz w:val="24"/>
          <w:szCs w:val="24"/>
          <w:lang w:val="en-US"/>
        </w:rPr>
        <w:t>The university</w:t>
      </w:r>
      <w:r w:rsidR="00F40E64" w:rsidRPr="00411CFF">
        <w:rPr>
          <w:rFonts w:ascii="Times New Roman" w:hAnsi="Times New Roman"/>
          <w:sz w:val="24"/>
          <w:szCs w:val="24"/>
          <w:lang w:val="en-US"/>
        </w:rPr>
        <w:t xml:space="preserve"> offers </w:t>
      </w:r>
      <w:r w:rsidR="00D01D96">
        <w:rPr>
          <w:rFonts w:ascii="Times New Roman" w:hAnsi="Times New Roman"/>
          <w:sz w:val="24"/>
          <w:szCs w:val="24"/>
          <w:lang w:val="en-US"/>
        </w:rPr>
        <w:t>bonuses</w:t>
      </w:r>
      <w:r w:rsidR="00F40E64" w:rsidRPr="00411CFF">
        <w:rPr>
          <w:rFonts w:ascii="Times New Roman" w:hAnsi="Times New Roman"/>
          <w:sz w:val="24"/>
          <w:szCs w:val="24"/>
          <w:lang w:val="en-US"/>
        </w:rPr>
        <w:t xml:space="preserve"> to academic staff for academic and research achievements. Although research efficiency criteria (</w:t>
      </w:r>
      <w:r w:rsidR="009B5B0A" w:rsidRPr="00411CFF">
        <w:rPr>
          <w:rFonts w:ascii="Times New Roman" w:hAnsi="Times New Roman"/>
          <w:sz w:val="24"/>
          <w:szCs w:val="24"/>
          <w:lang w:val="en-US"/>
        </w:rPr>
        <w:t xml:space="preserve">i.e., </w:t>
      </w:r>
      <w:r w:rsidR="00F40E64" w:rsidRPr="00411CFF">
        <w:rPr>
          <w:rFonts w:ascii="Times New Roman" w:hAnsi="Times New Roman"/>
          <w:sz w:val="24"/>
          <w:szCs w:val="24"/>
          <w:lang w:val="en-US"/>
        </w:rPr>
        <w:t xml:space="preserve">requirements </w:t>
      </w:r>
      <w:r w:rsidRPr="00411CFF">
        <w:rPr>
          <w:rFonts w:ascii="Times New Roman" w:hAnsi="Times New Roman"/>
          <w:sz w:val="24"/>
          <w:szCs w:val="24"/>
          <w:lang w:val="en-US"/>
        </w:rPr>
        <w:t>as to the quality of</w:t>
      </w:r>
      <w:r w:rsidR="00F40E64" w:rsidRPr="00411CFF">
        <w:rPr>
          <w:rFonts w:ascii="Times New Roman" w:hAnsi="Times New Roman"/>
          <w:sz w:val="24"/>
          <w:szCs w:val="24"/>
          <w:lang w:val="en-US"/>
        </w:rPr>
        <w:t xml:space="preserve"> research publications) have </w:t>
      </w:r>
      <w:r w:rsidRPr="00411CFF">
        <w:rPr>
          <w:rFonts w:ascii="Times New Roman" w:hAnsi="Times New Roman"/>
          <w:sz w:val="24"/>
          <w:szCs w:val="24"/>
          <w:lang w:val="en-US"/>
        </w:rPr>
        <w:t xml:space="preserve">been </w:t>
      </w:r>
      <w:r w:rsidR="006E0B7D">
        <w:rPr>
          <w:rFonts w:ascii="Times New Roman" w:hAnsi="Times New Roman"/>
          <w:sz w:val="24"/>
          <w:szCs w:val="24"/>
          <w:lang w:val="en-US"/>
        </w:rPr>
        <w:t>made tougher lately</w:t>
      </w:r>
      <w:r w:rsidR="00F40E64" w:rsidRPr="00411CFF">
        <w:rPr>
          <w:rFonts w:ascii="Times New Roman" w:hAnsi="Times New Roman"/>
          <w:sz w:val="24"/>
          <w:szCs w:val="24"/>
          <w:lang w:val="en-US"/>
        </w:rPr>
        <w:t>, 45% of academic staff were able to meet th</w:t>
      </w:r>
      <w:r w:rsidR="006E0B7D">
        <w:rPr>
          <w:rFonts w:ascii="Times New Roman" w:hAnsi="Times New Roman"/>
          <w:sz w:val="24"/>
          <w:szCs w:val="24"/>
          <w:lang w:val="en-US"/>
        </w:rPr>
        <w:t>o</w:t>
      </w:r>
      <w:r w:rsidR="00F40E64" w:rsidRPr="00411CFF">
        <w:rPr>
          <w:rFonts w:ascii="Times New Roman" w:hAnsi="Times New Roman"/>
          <w:sz w:val="24"/>
          <w:szCs w:val="24"/>
          <w:lang w:val="en-US"/>
        </w:rPr>
        <w:t xml:space="preserve">se criteria and </w:t>
      </w:r>
      <w:r w:rsidR="00A04B36" w:rsidRPr="00411CFF">
        <w:rPr>
          <w:rFonts w:ascii="Times New Roman" w:hAnsi="Times New Roman"/>
          <w:sz w:val="24"/>
          <w:szCs w:val="24"/>
          <w:lang w:val="en-US"/>
        </w:rPr>
        <w:t>received</w:t>
      </w:r>
      <w:r w:rsidR="00F40E64" w:rsidRPr="00411CFF">
        <w:rPr>
          <w:rFonts w:ascii="Times New Roman" w:hAnsi="Times New Roman"/>
          <w:sz w:val="24"/>
          <w:szCs w:val="24"/>
          <w:lang w:val="en-US"/>
        </w:rPr>
        <w:t xml:space="preserve"> bonuses in 2016. </w:t>
      </w:r>
    </w:p>
    <w:p w14:paraId="2C05CEB4" w14:textId="34EC0C7D" w:rsidR="00F40E64" w:rsidRPr="00411CFF" w:rsidRDefault="00F40E64" w:rsidP="0051131B">
      <w:pPr>
        <w:spacing w:after="0" w:line="312" w:lineRule="auto"/>
        <w:ind w:firstLine="709"/>
        <w:jc w:val="both"/>
        <w:rPr>
          <w:rFonts w:ascii="Times New Roman" w:hAnsi="Times New Roman"/>
          <w:sz w:val="24"/>
          <w:szCs w:val="24"/>
        </w:rPr>
      </w:pPr>
      <w:r w:rsidRPr="00411CFF">
        <w:rPr>
          <w:rFonts w:ascii="Times New Roman" w:hAnsi="Times New Roman"/>
          <w:sz w:val="24"/>
        </w:rPr>
        <w:t>In order to stimulate research productivity, the HSE Academic Fund Programme offers support to researchers in various forms, including academic mobility programme</w:t>
      </w:r>
      <w:r w:rsidR="00394B4F" w:rsidRPr="00411CFF">
        <w:rPr>
          <w:rFonts w:ascii="Times New Roman" w:hAnsi="Times New Roman"/>
          <w:sz w:val="24"/>
        </w:rPr>
        <w:t>s</w:t>
      </w:r>
      <w:r w:rsidRPr="00411CFF">
        <w:rPr>
          <w:rFonts w:ascii="Times New Roman" w:hAnsi="Times New Roman"/>
          <w:sz w:val="24"/>
        </w:rPr>
        <w:t xml:space="preserve"> for staff </w:t>
      </w:r>
      <w:r w:rsidR="00E31A8A" w:rsidRPr="00411CFF">
        <w:rPr>
          <w:rFonts w:ascii="Times New Roman" w:hAnsi="Times New Roman"/>
          <w:sz w:val="24"/>
        </w:rPr>
        <w:t>holding</w:t>
      </w:r>
      <w:r w:rsidRPr="00411CFF">
        <w:rPr>
          <w:rFonts w:ascii="Times New Roman" w:hAnsi="Times New Roman"/>
          <w:sz w:val="24"/>
        </w:rPr>
        <w:t xml:space="preserve"> PhDs from international universities (</w:t>
      </w:r>
      <w:r w:rsidRPr="00411CFF">
        <w:rPr>
          <w:rFonts w:ascii="Times New Roman" w:hAnsi="Times New Roman"/>
          <w:sz w:val="24"/>
          <w:lang w:val="en-US"/>
        </w:rPr>
        <w:t xml:space="preserve">168 </w:t>
      </w:r>
      <w:r w:rsidRPr="00411CFF">
        <w:rPr>
          <w:rFonts w:ascii="Times New Roman" w:hAnsi="Times New Roman"/>
          <w:sz w:val="24"/>
        </w:rPr>
        <w:t>grants in 201</w:t>
      </w:r>
      <w:r w:rsidRPr="00411CFF">
        <w:rPr>
          <w:rFonts w:ascii="Times New Roman" w:hAnsi="Times New Roman"/>
          <w:sz w:val="24"/>
          <w:lang w:val="en-US"/>
        </w:rPr>
        <w:t>6</w:t>
      </w:r>
      <w:r w:rsidRPr="00411CFF">
        <w:rPr>
          <w:rFonts w:ascii="Times New Roman" w:hAnsi="Times New Roman"/>
          <w:sz w:val="24"/>
        </w:rPr>
        <w:t>) and individual research grants (</w:t>
      </w:r>
      <w:r w:rsidRPr="00411CFF">
        <w:rPr>
          <w:rFonts w:ascii="Times New Roman" w:hAnsi="Times New Roman"/>
          <w:sz w:val="24"/>
          <w:lang w:val="en-US"/>
        </w:rPr>
        <w:t xml:space="preserve">116 </w:t>
      </w:r>
      <w:r w:rsidR="00A767A2" w:rsidRPr="00411CFF">
        <w:rPr>
          <w:rFonts w:ascii="Times New Roman" w:hAnsi="Times New Roman"/>
          <w:sz w:val="24"/>
          <w:lang w:val="en-US"/>
        </w:rPr>
        <w:t xml:space="preserve">grants </w:t>
      </w:r>
      <w:r w:rsidRPr="00411CFF">
        <w:rPr>
          <w:rFonts w:ascii="Times New Roman" w:hAnsi="Times New Roman"/>
          <w:sz w:val="24"/>
          <w:lang w:val="en-US"/>
        </w:rPr>
        <w:t>in 2016</w:t>
      </w:r>
      <w:r w:rsidRPr="00411CFF">
        <w:rPr>
          <w:rFonts w:ascii="Times New Roman" w:hAnsi="Times New Roman"/>
          <w:sz w:val="24"/>
        </w:rPr>
        <w:t>)</w:t>
      </w:r>
      <w:r w:rsidR="00E31A8A" w:rsidRPr="00411CFF">
        <w:rPr>
          <w:rFonts w:ascii="Times New Roman" w:hAnsi="Times New Roman"/>
          <w:sz w:val="24"/>
        </w:rPr>
        <w:t xml:space="preserve">. </w:t>
      </w:r>
      <w:r w:rsidR="009F1F6D">
        <w:rPr>
          <w:rFonts w:ascii="Times New Roman" w:hAnsi="Times New Roman"/>
          <w:sz w:val="24"/>
        </w:rPr>
        <w:t>In addition, t</w:t>
      </w:r>
      <w:r w:rsidR="00E31A8A" w:rsidRPr="00411CFF">
        <w:rPr>
          <w:rFonts w:ascii="Times New Roman" w:hAnsi="Times New Roman"/>
          <w:sz w:val="24"/>
        </w:rPr>
        <w:t xml:space="preserve">he fund provides </w:t>
      </w:r>
      <w:r w:rsidRPr="00411CFF">
        <w:rPr>
          <w:rFonts w:ascii="Times New Roman" w:hAnsi="Times New Roman"/>
          <w:sz w:val="24"/>
        </w:rPr>
        <w:t xml:space="preserve">financial support for </w:t>
      </w:r>
      <w:r w:rsidR="009F1F6D">
        <w:rPr>
          <w:rFonts w:ascii="Times New Roman" w:hAnsi="Times New Roman"/>
          <w:sz w:val="24"/>
          <w:lang w:val="en-US"/>
        </w:rPr>
        <w:t xml:space="preserve">28 </w:t>
      </w:r>
      <w:r w:rsidRPr="00411CFF">
        <w:rPr>
          <w:rFonts w:ascii="Times New Roman" w:hAnsi="Times New Roman"/>
          <w:sz w:val="24"/>
        </w:rPr>
        <w:t xml:space="preserve">projects carried out by young researchers and students supervised by experienced faculty members and researchers. </w:t>
      </w:r>
    </w:p>
    <w:p w14:paraId="75D794B2" w14:textId="2407240B" w:rsidR="00F40E64" w:rsidRPr="00411CFF" w:rsidRDefault="00F40E64" w:rsidP="0051131B">
      <w:pPr>
        <w:spacing w:after="0" w:line="312" w:lineRule="auto"/>
        <w:ind w:firstLine="709"/>
        <w:jc w:val="both"/>
        <w:rPr>
          <w:rFonts w:ascii="Times New Roman" w:hAnsi="Times New Roman"/>
          <w:sz w:val="24"/>
          <w:lang w:val="en-US"/>
        </w:rPr>
      </w:pPr>
      <w:r w:rsidRPr="00411CFF">
        <w:rPr>
          <w:rFonts w:ascii="Times New Roman" w:hAnsi="Times New Roman"/>
          <w:sz w:val="24"/>
          <w:szCs w:val="24"/>
        </w:rPr>
        <w:t>In</w:t>
      </w:r>
      <w:r w:rsidRPr="00411CFF">
        <w:rPr>
          <w:rFonts w:ascii="Times New Roman" w:hAnsi="Times New Roman"/>
          <w:sz w:val="24"/>
          <w:szCs w:val="24"/>
          <w:lang w:val="en-US"/>
        </w:rPr>
        <w:t xml:space="preserve"> 2016, 167 academic staff members took part in </w:t>
      </w:r>
      <w:r w:rsidRPr="00411CFF">
        <w:rPr>
          <w:rFonts w:ascii="Times New Roman" w:hAnsi="Times New Roman"/>
          <w:sz w:val="24"/>
          <w:szCs w:val="24"/>
        </w:rPr>
        <w:t>HSE</w:t>
      </w:r>
      <w:r w:rsidR="009737DF" w:rsidRPr="00411CFF">
        <w:rPr>
          <w:rFonts w:ascii="Times New Roman" w:hAnsi="Times New Roman"/>
          <w:sz w:val="24"/>
          <w:szCs w:val="24"/>
        </w:rPr>
        <w:t>’s</w:t>
      </w:r>
      <w:r w:rsidRPr="00411CFF">
        <w:rPr>
          <w:rFonts w:ascii="Times New Roman" w:hAnsi="Times New Roman"/>
          <w:sz w:val="24"/>
          <w:szCs w:val="24"/>
          <w:lang w:val="en-US"/>
        </w:rPr>
        <w:t xml:space="preserve"> </w:t>
      </w:r>
      <w:r w:rsidRPr="00411CFF">
        <w:rPr>
          <w:rFonts w:ascii="Times New Roman" w:hAnsi="Times New Roman"/>
          <w:sz w:val="24"/>
          <w:szCs w:val="24"/>
        </w:rPr>
        <w:t>Young</w:t>
      </w:r>
      <w:r w:rsidRPr="00411CFF">
        <w:rPr>
          <w:rFonts w:ascii="Times New Roman" w:hAnsi="Times New Roman"/>
          <w:sz w:val="24"/>
          <w:szCs w:val="24"/>
          <w:lang w:val="en-US"/>
        </w:rPr>
        <w:t xml:space="preserve"> </w:t>
      </w:r>
      <w:r w:rsidRPr="00411CFF">
        <w:rPr>
          <w:rFonts w:ascii="Times New Roman" w:hAnsi="Times New Roman"/>
          <w:sz w:val="24"/>
          <w:szCs w:val="24"/>
        </w:rPr>
        <w:t>Faculty</w:t>
      </w:r>
      <w:r w:rsidRPr="00411CFF">
        <w:rPr>
          <w:rFonts w:ascii="Times New Roman" w:hAnsi="Times New Roman"/>
          <w:sz w:val="24"/>
          <w:szCs w:val="24"/>
          <w:lang w:val="en-US"/>
        </w:rPr>
        <w:t xml:space="preserve"> </w:t>
      </w:r>
      <w:r w:rsidRPr="00411CFF">
        <w:rPr>
          <w:rFonts w:ascii="Times New Roman" w:hAnsi="Times New Roman"/>
          <w:sz w:val="24"/>
          <w:szCs w:val="24"/>
        </w:rPr>
        <w:t>Support</w:t>
      </w:r>
      <w:r w:rsidRPr="00411CFF">
        <w:rPr>
          <w:rFonts w:ascii="Times New Roman" w:hAnsi="Times New Roman"/>
          <w:sz w:val="24"/>
          <w:szCs w:val="24"/>
          <w:lang w:val="en-US"/>
        </w:rPr>
        <w:t xml:space="preserve"> </w:t>
      </w:r>
      <w:r w:rsidRPr="00411CFF">
        <w:rPr>
          <w:rFonts w:ascii="Times New Roman" w:hAnsi="Times New Roman"/>
          <w:sz w:val="24"/>
          <w:szCs w:val="24"/>
        </w:rPr>
        <w:t>Program</w:t>
      </w:r>
      <w:r w:rsidRPr="00411CFF">
        <w:rPr>
          <w:rFonts w:ascii="Times New Roman" w:hAnsi="Times New Roman"/>
          <w:sz w:val="24"/>
          <w:szCs w:val="24"/>
          <w:lang w:val="en-US"/>
        </w:rPr>
        <w:t xml:space="preserve">me. </w:t>
      </w:r>
      <w:r w:rsidR="00231866" w:rsidRPr="00411CFF">
        <w:rPr>
          <w:rFonts w:ascii="Times New Roman" w:hAnsi="Times New Roman"/>
          <w:sz w:val="24"/>
        </w:rPr>
        <w:t xml:space="preserve">This </w:t>
      </w:r>
      <w:r w:rsidRPr="00411CFF">
        <w:rPr>
          <w:rFonts w:ascii="Times New Roman" w:hAnsi="Times New Roman"/>
          <w:sz w:val="24"/>
        </w:rPr>
        <w:t>programme target</w:t>
      </w:r>
      <w:r w:rsidR="009F1F6D">
        <w:rPr>
          <w:rFonts w:ascii="Times New Roman" w:hAnsi="Times New Roman"/>
          <w:sz w:val="24"/>
        </w:rPr>
        <w:t>s</w:t>
      </w:r>
      <w:r w:rsidRPr="00411CFF">
        <w:rPr>
          <w:rFonts w:ascii="Times New Roman" w:hAnsi="Times New Roman"/>
          <w:sz w:val="24"/>
        </w:rPr>
        <w:t xml:space="preserve"> different </w:t>
      </w:r>
      <w:r w:rsidR="000A0A69">
        <w:rPr>
          <w:rFonts w:ascii="Times New Roman" w:hAnsi="Times New Roman"/>
          <w:sz w:val="24"/>
          <w:lang w:val="en-US"/>
        </w:rPr>
        <w:t>academic</w:t>
      </w:r>
      <w:r w:rsidR="000A0A69" w:rsidRPr="00411CFF">
        <w:rPr>
          <w:rFonts w:ascii="Times New Roman" w:hAnsi="Times New Roman"/>
          <w:sz w:val="24"/>
        </w:rPr>
        <w:t xml:space="preserve"> </w:t>
      </w:r>
      <w:r w:rsidRPr="00411CFF">
        <w:rPr>
          <w:rFonts w:ascii="Times New Roman" w:hAnsi="Times New Roman"/>
          <w:sz w:val="24"/>
        </w:rPr>
        <w:t>categories (</w:t>
      </w:r>
      <w:r w:rsidR="00231866" w:rsidRPr="00411CFF">
        <w:rPr>
          <w:rFonts w:ascii="Times New Roman" w:hAnsi="Times New Roman"/>
          <w:sz w:val="24"/>
        </w:rPr>
        <w:t xml:space="preserve">e.g., </w:t>
      </w:r>
      <w:r w:rsidR="009F1F6D">
        <w:rPr>
          <w:rFonts w:ascii="Times New Roman" w:hAnsi="Times New Roman"/>
          <w:sz w:val="24"/>
        </w:rPr>
        <w:t>prospective</w:t>
      </w:r>
      <w:r w:rsidR="009F1F6D" w:rsidRPr="00411CFF">
        <w:rPr>
          <w:rFonts w:ascii="Times New Roman" w:hAnsi="Times New Roman"/>
          <w:sz w:val="24"/>
        </w:rPr>
        <w:t xml:space="preserve"> </w:t>
      </w:r>
      <w:r w:rsidRPr="00411CFF">
        <w:rPr>
          <w:rFonts w:ascii="Times New Roman" w:hAnsi="Times New Roman"/>
          <w:sz w:val="24"/>
        </w:rPr>
        <w:t xml:space="preserve">faculty members, new faculty members, new researchers, </w:t>
      </w:r>
      <w:r w:rsidR="009F1F6D">
        <w:rPr>
          <w:rFonts w:ascii="Times New Roman" w:hAnsi="Times New Roman"/>
          <w:sz w:val="24"/>
        </w:rPr>
        <w:t>prospective</w:t>
      </w:r>
      <w:r w:rsidR="009F1F6D" w:rsidRPr="00411CFF">
        <w:rPr>
          <w:rFonts w:ascii="Times New Roman" w:hAnsi="Times New Roman"/>
          <w:sz w:val="24"/>
        </w:rPr>
        <w:t xml:space="preserve"> </w:t>
      </w:r>
      <w:r w:rsidRPr="00411CFF">
        <w:rPr>
          <w:rFonts w:ascii="Times New Roman" w:hAnsi="Times New Roman"/>
          <w:sz w:val="24"/>
        </w:rPr>
        <w:t>researchers</w:t>
      </w:r>
      <w:r w:rsidR="00231866" w:rsidRPr="00411CFF">
        <w:rPr>
          <w:rFonts w:ascii="Times New Roman" w:hAnsi="Times New Roman"/>
          <w:sz w:val="24"/>
        </w:rPr>
        <w:t>, etc.</w:t>
      </w:r>
      <w:r w:rsidRPr="00411CFF">
        <w:rPr>
          <w:rFonts w:ascii="Times New Roman" w:hAnsi="Times New Roman"/>
          <w:sz w:val="24"/>
        </w:rPr>
        <w:t xml:space="preserve">) and includes programmes of specialized training and continuing professional development (e.g. at international universities and research centres). </w:t>
      </w:r>
      <w:r w:rsidR="003A3C0E" w:rsidRPr="00411CFF">
        <w:rPr>
          <w:rFonts w:ascii="Times New Roman" w:hAnsi="Times New Roman"/>
          <w:sz w:val="24"/>
        </w:rPr>
        <w:t>The programme’s</w:t>
      </w:r>
      <w:r w:rsidRPr="00411CFF">
        <w:rPr>
          <w:rFonts w:ascii="Times New Roman" w:hAnsi="Times New Roman"/>
          <w:sz w:val="24"/>
        </w:rPr>
        <w:t xml:space="preserve"> participants are eligible for grants awarded on a competitive basis</w:t>
      </w:r>
      <w:r w:rsidRPr="00411CFF">
        <w:rPr>
          <w:rFonts w:ascii="Times New Roman" w:hAnsi="Times New Roman"/>
          <w:sz w:val="24"/>
          <w:lang w:val="en-US"/>
        </w:rPr>
        <w:t xml:space="preserve"> (126</w:t>
      </w:r>
      <w:r w:rsidR="00C06749" w:rsidRPr="00411CFF">
        <w:rPr>
          <w:rFonts w:ascii="Times New Roman" w:hAnsi="Times New Roman"/>
          <w:sz w:val="24"/>
          <w:lang w:val="en-US"/>
        </w:rPr>
        <w:t xml:space="preserve"> </w:t>
      </w:r>
      <w:r w:rsidR="00BB6A7B" w:rsidRPr="00411CFF">
        <w:rPr>
          <w:rFonts w:ascii="Times New Roman" w:hAnsi="Times New Roman"/>
          <w:sz w:val="24"/>
          <w:lang w:val="en-US"/>
        </w:rPr>
        <w:t xml:space="preserve">grants </w:t>
      </w:r>
      <w:r w:rsidR="00C06749" w:rsidRPr="00411CFF">
        <w:rPr>
          <w:rFonts w:ascii="Times New Roman" w:hAnsi="Times New Roman"/>
          <w:sz w:val="24"/>
          <w:lang w:val="en-US"/>
        </w:rPr>
        <w:t xml:space="preserve">were </w:t>
      </w:r>
      <w:r w:rsidR="009F1F6D">
        <w:rPr>
          <w:rFonts w:ascii="Times New Roman" w:hAnsi="Times New Roman"/>
          <w:sz w:val="24"/>
          <w:lang w:val="en-US"/>
        </w:rPr>
        <w:t>awar</w:t>
      </w:r>
      <w:r w:rsidR="009F1F6D" w:rsidRPr="00411CFF">
        <w:rPr>
          <w:rFonts w:ascii="Times New Roman" w:hAnsi="Times New Roman"/>
          <w:sz w:val="24"/>
          <w:lang w:val="en-US"/>
        </w:rPr>
        <w:t xml:space="preserve">ded </w:t>
      </w:r>
      <w:r w:rsidRPr="00411CFF">
        <w:rPr>
          <w:rFonts w:ascii="Times New Roman" w:hAnsi="Times New Roman"/>
          <w:sz w:val="24"/>
          <w:lang w:val="en-US"/>
        </w:rPr>
        <w:t>in 2016), as well as internships at leading international universities.</w:t>
      </w:r>
      <w:r w:rsidRPr="00411CFF">
        <w:rPr>
          <w:rFonts w:ascii="Times New Roman" w:hAnsi="Times New Roman"/>
          <w:sz w:val="24"/>
        </w:rPr>
        <w:t xml:space="preserve"> </w:t>
      </w:r>
    </w:p>
    <w:p w14:paraId="6A70718A" w14:textId="384F771E" w:rsidR="00F40E64" w:rsidRPr="00411CFF" w:rsidRDefault="006E1A0A" w:rsidP="0051131B">
      <w:pPr>
        <w:spacing w:after="0" w:line="312" w:lineRule="auto"/>
        <w:ind w:firstLine="709"/>
        <w:jc w:val="both"/>
        <w:rPr>
          <w:rFonts w:ascii="Times New Roman" w:hAnsi="Times New Roman"/>
          <w:sz w:val="24"/>
          <w:lang w:val="en-US"/>
        </w:rPr>
      </w:pPr>
      <w:r w:rsidRPr="00411CFF">
        <w:rPr>
          <w:rFonts w:ascii="Times New Roman" w:hAnsi="Times New Roman"/>
          <w:sz w:val="24"/>
          <w:lang w:val="en-US"/>
        </w:rPr>
        <w:t xml:space="preserve">HSE’s </w:t>
      </w:r>
      <w:r w:rsidR="005B1BA8">
        <w:rPr>
          <w:rFonts w:ascii="Times New Roman" w:hAnsi="Times New Roman"/>
          <w:sz w:val="24"/>
          <w:lang w:val="en-US"/>
        </w:rPr>
        <w:t>Leadership</w:t>
      </w:r>
      <w:r w:rsidR="00F40E64" w:rsidRPr="00411CFF">
        <w:rPr>
          <w:rFonts w:ascii="Times New Roman" w:hAnsi="Times New Roman"/>
          <w:sz w:val="24"/>
          <w:lang w:val="en-US"/>
        </w:rPr>
        <w:t xml:space="preserve"> Development Programme, which </w:t>
      </w:r>
      <w:r w:rsidR="00527C79">
        <w:rPr>
          <w:rFonts w:ascii="Times New Roman" w:hAnsi="Times New Roman"/>
          <w:sz w:val="24"/>
          <w:lang w:val="en-US"/>
        </w:rPr>
        <w:t>was created for</w:t>
      </w:r>
      <w:r w:rsidR="00F40E64" w:rsidRPr="00411CFF">
        <w:rPr>
          <w:rFonts w:ascii="Times New Roman" w:hAnsi="Times New Roman"/>
          <w:sz w:val="24"/>
          <w:lang w:val="en-US"/>
        </w:rPr>
        <w:t xml:space="preserve"> professional development of managers and enhancing collaboration</w:t>
      </w:r>
      <w:r w:rsidR="009F1F6D">
        <w:rPr>
          <w:rFonts w:ascii="Times New Roman" w:hAnsi="Times New Roman"/>
          <w:sz w:val="24"/>
          <w:lang w:val="en-US"/>
        </w:rPr>
        <w:t xml:space="preserve"> among</w:t>
      </w:r>
      <w:r w:rsidR="00F40E64" w:rsidRPr="00411CFF">
        <w:rPr>
          <w:rFonts w:ascii="Times New Roman" w:hAnsi="Times New Roman"/>
          <w:sz w:val="24"/>
          <w:lang w:val="en-US"/>
        </w:rPr>
        <w:t xml:space="preserve"> administrative subdivisions, </w:t>
      </w:r>
      <w:r w:rsidR="00527C79">
        <w:rPr>
          <w:rFonts w:ascii="Times New Roman" w:hAnsi="Times New Roman"/>
          <w:sz w:val="24"/>
          <w:lang w:val="en-US"/>
        </w:rPr>
        <w:t>train</w:t>
      </w:r>
      <w:r w:rsidR="00527C79" w:rsidRPr="00411CFF">
        <w:rPr>
          <w:rFonts w:ascii="Times New Roman" w:hAnsi="Times New Roman"/>
          <w:sz w:val="24"/>
          <w:lang w:val="en-US"/>
        </w:rPr>
        <w:t xml:space="preserve">ed </w:t>
      </w:r>
      <w:r w:rsidR="00F40E64" w:rsidRPr="00411CFF">
        <w:rPr>
          <w:rFonts w:ascii="Times New Roman" w:hAnsi="Times New Roman"/>
          <w:sz w:val="24"/>
          <w:lang w:val="en-US"/>
        </w:rPr>
        <w:t xml:space="preserve">74 </w:t>
      </w:r>
      <w:r w:rsidR="005B1BA8">
        <w:rPr>
          <w:rFonts w:ascii="Times New Roman" w:hAnsi="Times New Roman"/>
          <w:sz w:val="24"/>
          <w:lang w:val="en-US"/>
        </w:rPr>
        <w:t>managers</w:t>
      </w:r>
      <w:r w:rsidR="00F40E64" w:rsidRPr="00411CFF">
        <w:rPr>
          <w:rFonts w:ascii="Times New Roman" w:hAnsi="Times New Roman"/>
          <w:sz w:val="24"/>
          <w:lang w:val="en-US"/>
        </w:rPr>
        <w:t xml:space="preserve"> in 2016. </w:t>
      </w:r>
      <w:r w:rsidR="00BC1FC0" w:rsidRPr="00411CFF">
        <w:rPr>
          <w:rFonts w:ascii="Times New Roman" w:hAnsi="Times New Roman"/>
          <w:sz w:val="24"/>
          <w:lang w:val="en-US"/>
        </w:rPr>
        <w:t>This programme</w:t>
      </w:r>
      <w:r w:rsidR="00F40E64" w:rsidRPr="00411CFF">
        <w:rPr>
          <w:rFonts w:ascii="Times New Roman" w:hAnsi="Times New Roman"/>
          <w:sz w:val="24"/>
          <w:lang w:val="en-US"/>
        </w:rPr>
        <w:t xml:space="preserve"> </w:t>
      </w:r>
      <w:r w:rsidR="00527C79">
        <w:rPr>
          <w:rFonts w:ascii="Times New Roman" w:hAnsi="Times New Roman"/>
          <w:sz w:val="24"/>
          <w:lang w:val="en-US"/>
        </w:rPr>
        <w:t>is additionally</w:t>
      </w:r>
      <w:r w:rsidR="00BC1FC0" w:rsidRPr="00411CFF">
        <w:rPr>
          <w:rFonts w:ascii="Times New Roman" w:hAnsi="Times New Roman"/>
          <w:sz w:val="24"/>
          <w:lang w:val="en-US"/>
        </w:rPr>
        <w:t xml:space="preserve"> </w:t>
      </w:r>
      <w:r w:rsidR="00527C79">
        <w:rPr>
          <w:rFonts w:ascii="Times New Roman" w:hAnsi="Times New Roman"/>
          <w:sz w:val="24"/>
          <w:lang w:val="en-US"/>
        </w:rPr>
        <w:t>focused</w:t>
      </w:r>
      <w:r w:rsidR="005B1BA8">
        <w:rPr>
          <w:rFonts w:ascii="Times New Roman" w:hAnsi="Times New Roman"/>
          <w:sz w:val="24"/>
          <w:lang w:val="en-US"/>
        </w:rPr>
        <w:t xml:space="preserve"> on</w:t>
      </w:r>
      <w:r w:rsidR="00BC1FC0" w:rsidRPr="00411CFF">
        <w:rPr>
          <w:rFonts w:ascii="Times New Roman" w:hAnsi="Times New Roman"/>
          <w:sz w:val="24"/>
          <w:lang w:val="en-US"/>
        </w:rPr>
        <w:t xml:space="preserve"> design and implementation of</w:t>
      </w:r>
      <w:r w:rsidR="00F40E64" w:rsidRPr="00411CFF">
        <w:rPr>
          <w:rFonts w:ascii="Times New Roman" w:hAnsi="Times New Roman"/>
          <w:sz w:val="24"/>
          <w:lang w:val="en-US"/>
        </w:rPr>
        <w:t xml:space="preserve"> project</w:t>
      </w:r>
      <w:r w:rsidR="00A74F17" w:rsidRPr="00411CFF">
        <w:rPr>
          <w:rFonts w:ascii="Times New Roman" w:hAnsi="Times New Roman"/>
          <w:sz w:val="24"/>
          <w:lang w:val="en-US"/>
        </w:rPr>
        <w:t>s</w:t>
      </w:r>
      <w:r w:rsidR="005B1BA8">
        <w:rPr>
          <w:rFonts w:ascii="Times New Roman" w:hAnsi="Times New Roman"/>
          <w:sz w:val="24"/>
          <w:lang w:val="en-US"/>
        </w:rPr>
        <w:t>,</w:t>
      </w:r>
      <w:r w:rsidR="00F40E64" w:rsidRPr="00411CFF">
        <w:rPr>
          <w:rFonts w:ascii="Times New Roman" w:hAnsi="Times New Roman"/>
          <w:sz w:val="24"/>
          <w:lang w:val="en-US"/>
        </w:rPr>
        <w:t xml:space="preserve"> </w:t>
      </w:r>
      <w:r w:rsidR="005B1BA8">
        <w:rPr>
          <w:rFonts w:ascii="Times New Roman" w:hAnsi="Times New Roman"/>
          <w:sz w:val="24"/>
          <w:lang w:val="en-US"/>
        </w:rPr>
        <w:t xml:space="preserve">which would </w:t>
      </w:r>
      <w:proofErr w:type="gramStart"/>
      <w:r w:rsidR="00F40E64" w:rsidRPr="00411CFF">
        <w:rPr>
          <w:rFonts w:ascii="Times New Roman" w:hAnsi="Times New Roman"/>
          <w:sz w:val="24"/>
          <w:lang w:val="en-US"/>
        </w:rPr>
        <w:t>improv</w:t>
      </w:r>
      <w:r w:rsidR="005B1BA8">
        <w:rPr>
          <w:rFonts w:ascii="Times New Roman" w:hAnsi="Times New Roman"/>
          <w:sz w:val="24"/>
          <w:lang w:val="en-US"/>
        </w:rPr>
        <w:t>e</w:t>
      </w:r>
      <w:r w:rsidR="00F40E64" w:rsidRPr="00411CFF">
        <w:rPr>
          <w:rFonts w:ascii="Times New Roman" w:hAnsi="Times New Roman"/>
          <w:sz w:val="24"/>
          <w:lang w:val="en-US"/>
        </w:rPr>
        <w:t xml:space="preserve"> </w:t>
      </w:r>
      <w:r w:rsidR="00BC1FC0" w:rsidRPr="00411CFF">
        <w:rPr>
          <w:rFonts w:ascii="Times New Roman" w:hAnsi="Times New Roman"/>
          <w:sz w:val="24"/>
          <w:lang w:val="en-US"/>
        </w:rPr>
        <w:t xml:space="preserve"> university’s</w:t>
      </w:r>
      <w:proofErr w:type="gramEnd"/>
      <w:r w:rsidR="00BC1FC0" w:rsidRPr="00411CFF">
        <w:rPr>
          <w:rFonts w:ascii="Times New Roman" w:hAnsi="Times New Roman"/>
          <w:sz w:val="24"/>
          <w:lang w:val="en-US"/>
        </w:rPr>
        <w:t xml:space="preserve"> internal </w:t>
      </w:r>
      <w:r w:rsidR="00F40E64" w:rsidRPr="00411CFF">
        <w:rPr>
          <w:rFonts w:ascii="Times New Roman" w:hAnsi="Times New Roman"/>
          <w:sz w:val="24"/>
          <w:lang w:val="en-US"/>
        </w:rPr>
        <w:t xml:space="preserve">processes and in-house services. </w:t>
      </w:r>
    </w:p>
    <w:p w14:paraId="76C0A527" w14:textId="3F0C95DC" w:rsidR="00F40E64" w:rsidRPr="00411CFF" w:rsidRDefault="005B1BA8" w:rsidP="0051131B">
      <w:pPr>
        <w:spacing w:after="0" w:line="312" w:lineRule="auto"/>
        <w:ind w:firstLine="708"/>
        <w:jc w:val="both"/>
        <w:rPr>
          <w:rFonts w:ascii="Times New Roman" w:hAnsi="Times New Roman"/>
          <w:sz w:val="24"/>
          <w:szCs w:val="24"/>
        </w:rPr>
      </w:pPr>
      <w:r>
        <w:rPr>
          <w:rFonts w:ascii="Times New Roman" w:hAnsi="Times New Roman"/>
          <w:sz w:val="24"/>
        </w:rPr>
        <w:t xml:space="preserve">Another programme – </w:t>
      </w:r>
      <w:r w:rsidR="00F40E64" w:rsidRPr="00411CFF">
        <w:rPr>
          <w:rFonts w:ascii="Times New Roman" w:hAnsi="Times New Roman"/>
          <w:sz w:val="24"/>
        </w:rPr>
        <w:t>comprehensive continuing professional development (</w:t>
      </w:r>
      <w:r>
        <w:rPr>
          <w:rFonts w:ascii="Times New Roman" w:hAnsi="Times New Roman"/>
          <w:sz w:val="24"/>
        </w:rPr>
        <w:t>C</w:t>
      </w:r>
      <w:r w:rsidR="00F40E64" w:rsidRPr="00411CFF">
        <w:rPr>
          <w:rFonts w:ascii="Times New Roman" w:hAnsi="Times New Roman"/>
          <w:sz w:val="24"/>
        </w:rPr>
        <w:t xml:space="preserve">CPD) </w:t>
      </w:r>
      <w:r>
        <w:rPr>
          <w:rFonts w:ascii="Times New Roman" w:hAnsi="Times New Roman"/>
          <w:sz w:val="24"/>
        </w:rPr>
        <w:t xml:space="preserve">involved </w:t>
      </w:r>
      <w:r w:rsidRPr="00411CFF">
        <w:rPr>
          <w:rFonts w:ascii="Times New Roman" w:hAnsi="Times New Roman"/>
          <w:sz w:val="24"/>
          <w:lang w:val="en-US"/>
        </w:rPr>
        <w:t>1,271</w:t>
      </w:r>
      <w:r>
        <w:rPr>
          <w:rFonts w:ascii="Times New Roman" w:hAnsi="Times New Roman"/>
          <w:sz w:val="24"/>
        </w:rPr>
        <w:t xml:space="preserve"> academic</w:t>
      </w:r>
      <w:r w:rsidRPr="00411CFF">
        <w:rPr>
          <w:rFonts w:ascii="Times New Roman" w:hAnsi="Times New Roman"/>
          <w:sz w:val="24"/>
        </w:rPr>
        <w:t xml:space="preserve"> and </w:t>
      </w:r>
      <w:r w:rsidRPr="00411CFF">
        <w:rPr>
          <w:rFonts w:ascii="Times New Roman" w:hAnsi="Times New Roman"/>
          <w:sz w:val="24"/>
          <w:lang w:val="en-US"/>
        </w:rPr>
        <w:t>362</w:t>
      </w:r>
      <w:r w:rsidRPr="00411CFF">
        <w:rPr>
          <w:rFonts w:ascii="Times New Roman" w:hAnsi="Times New Roman"/>
          <w:sz w:val="24"/>
        </w:rPr>
        <w:t xml:space="preserve"> administrative staff members</w:t>
      </w:r>
      <w:r w:rsidRPr="00411CFF" w:rsidDel="005B1BA8">
        <w:rPr>
          <w:rFonts w:ascii="Times New Roman" w:hAnsi="Times New Roman"/>
          <w:sz w:val="24"/>
        </w:rPr>
        <w:t xml:space="preserve"> </w:t>
      </w:r>
      <w:r>
        <w:rPr>
          <w:rFonts w:ascii="Times New Roman" w:hAnsi="Times New Roman"/>
          <w:sz w:val="24"/>
        </w:rPr>
        <w:t xml:space="preserve">in 2016. </w:t>
      </w:r>
      <w:r w:rsidR="00F40E64" w:rsidRPr="00411CFF">
        <w:rPr>
          <w:rFonts w:ascii="Times New Roman" w:hAnsi="Times New Roman"/>
          <w:sz w:val="24"/>
        </w:rPr>
        <w:t>.</w:t>
      </w:r>
    </w:p>
    <w:p w14:paraId="578CCA32" w14:textId="20C433E5" w:rsidR="00F40E64" w:rsidRPr="00411CFF" w:rsidRDefault="00527C79" w:rsidP="0051131B">
      <w:pPr>
        <w:spacing w:after="0" w:line="312" w:lineRule="auto"/>
        <w:ind w:firstLine="709"/>
        <w:contextualSpacing/>
        <w:jc w:val="both"/>
        <w:rPr>
          <w:rFonts w:ascii="Times New Roman" w:hAnsi="Times New Roman"/>
          <w:sz w:val="24"/>
          <w:szCs w:val="24"/>
          <w:lang w:val="en-US"/>
        </w:rPr>
      </w:pPr>
      <w:r>
        <w:rPr>
          <w:rFonts w:ascii="Times New Roman" w:hAnsi="Times New Roman"/>
          <w:sz w:val="24"/>
          <w:szCs w:val="24"/>
          <w:lang w:val="en-US"/>
        </w:rPr>
        <w:lastRenderedPageBreak/>
        <w:t>T</w:t>
      </w:r>
      <w:r w:rsidR="009323A5" w:rsidRPr="00411CFF">
        <w:rPr>
          <w:rFonts w:ascii="Times New Roman" w:hAnsi="Times New Roman"/>
          <w:sz w:val="24"/>
          <w:szCs w:val="24"/>
          <w:lang w:val="en-US"/>
        </w:rPr>
        <w:t>he university</w:t>
      </w:r>
      <w:r w:rsidR="00F40E64" w:rsidRPr="00411CFF">
        <w:rPr>
          <w:rFonts w:ascii="Times New Roman" w:hAnsi="Times New Roman"/>
          <w:sz w:val="24"/>
          <w:szCs w:val="24"/>
        </w:rPr>
        <w:t xml:space="preserve"> </w:t>
      </w:r>
      <w:r>
        <w:rPr>
          <w:rFonts w:ascii="Times New Roman" w:hAnsi="Times New Roman"/>
          <w:sz w:val="24"/>
          <w:szCs w:val="24"/>
        </w:rPr>
        <w:t xml:space="preserve">also </w:t>
      </w:r>
      <w:r w:rsidR="00D50637" w:rsidRPr="00411CFF">
        <w:rPr>
          <w:rFonts w:ascii="Times New Roman" w:hAnsi="Times New Roman"/>
          <w:sz w:val="24"/>
          <w:szCs w:val="24"/>
          <w:lang w:val="en-US"/>
        </w:rPr>
        <w:t xml:space="preserve">operates </w:t>
      </w:r>
      <w:proofErr w:type="gramStart"/>
      <w:r w:rsidR="00D50637" w:rsidRPr="00411CFF">
        <w:rPr>
          <w:rFonts w:ascii="Times New Roman" w:hAnsi="Times New Roman"/>
          <w:sz w:val="24"/>
          <w:szCs w:val="24"/>
          <w:lang w:val="en-US"/>
        </w:rPr>
        <w:t>a</w:t>
      </w:r>
      <w:r w:rsidR="00D50637" w:rsidRPr="00411CFF">
        <w:rPr>
          <w:rFonts w:ascii="Times New Roman" w:hAnsi="Times New Roman"/>
          <w:sz w:val="24"/>
          <w:szCs w:val="24"/>
        </w:rPr>
        <w:t xml:space="preserve"> </w:t>
      </w:r>
      <w:r w:rsidR="005B1BA8">
        <w:rPr>
          <w:rFonts w:ascii="Times New Roman" w:hAnsi="Times New Roman"/>
          <w:sz w:val="24"/>
          <w:szCs w:val="24"/>
        </w:rPr>
        <w:t>comprehensive</w:t>
      </w:r>
      <w:proofErr w:type="gramEnd"/>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information</w:t>
      </w:r>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administrative</w:t>
      </w:r>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and</w:t>
      </w:r>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social</w:t>
      </w:r>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support system</w:t>
      </w:r>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which</w:t>
      </w:r>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ensures</w:t>
      </w:r>
      <w:r w:rsidR="00F40E64" w:rsidRPr="00411CFF">
        <w:rPr>
          <w:rFonts w:ascii="Times New Roman" w:hAnsi="Times New Roman"/>
          <w:sz w:val="24"/>
          <w:szCs w:val="24"/>
        </w:rPr>
        <w:t xml:space="preserve"> </w:t>
      </w:r>
      <w:r w:rsidR="00F40E64" w:rsidRPr="00411CFF">
        <w:rPr>
          <w:rFonts w:ascii="Times New Roman" w:hAnsi="Times New Roman"/>
          <w:sz w:val="24"/>
          <w:szCs w:val="24"/>
          <w:lang w:val="en-US"/>
        </w:rPr>
        <w:t xml:space="preserve">better academic </w:t>
      </w:r>
      <w:r w:rsidR="005B1BA8">
        <w:rPr>
          <w:rFonts w:ascii="Times New Roman" w:hAnsi="Times New Roman"/>
          <w:sz w:val="24"/>
          <w:szCs w:val="24"/>
          <w:lang w:val="en-US"/>
        </w:rPr>
        <w:t xml:space="preserve">and cultural </w:t>
      </w:r>
      <w:r w:rsidR="00F40E64" w:rsidRPr="00411CFF">
        <w:rPr>
          <w:rFonts w:ascii="Times New Roman" w:hAnsi="Times New Roman"/>
          <w:sz w:val="24"/>
          <w:szCs w:val="24"/>
          <w:lang w:val="en-US"/>
        </w:rPr>
        <w:t xml:space="preserve">adaptation and integration </w:t>
      </w:r>
      <w:r w:rsidR="00DC4305" w:rsidRPr="00411CFF">
        <w:rPr>
          <w:rFonts w:ascii="Times New Roman" w:hAnsi="Times New Roman"/>
          <w:sz w:val="24"/>
          <w:szCs w:val="24"/>
          <w:lang w:val="en-US"/>
        </w:rPr>
        <w:t xml:space="preserve">for </w:t>
      </w:r>
      <w:r w:rsidR="00F40E64" w:rsidRPr="00411CFF">
        <w:rPr>
          <w:rFonts w:ascii="Times New Roman" w:hAnsi="Times New Roman"/>
          <w:sz w:val="24"/>
          <w:szCs w:val="24"/>
          <w:lang w:val="en-US"/>
        </w:rPr>
        <w:t>international staff</w:t>
      </w:r>
      <w:r w:rsidR="00DC4305" w:rsidRPr="00411CFF">
        <w:rPr>
          <w:rFonts w:ascii="Times New Roman" w:hAnsi="Times New Roman"/>
          <w:sz w:val="24"/>
          <w:szCs w:val="24"/>
          <w:lang w:val="en-US"/>
        </w:rPr>
        <w:t>. In fact, a recent</w:t>
      </w:r>
      <w:r w:rsidR="00F40E64" w:rsidRPr="00411CFF">
        <w:rPr>
          <w:rFonts w:ascii="Times New Roman" w:hAnsi="Times New Roman"/>
          <w:sz w:val="24"/>
          <w:szCs w:val="24"/>
          <w:lang w:val="en-US"/>
        </w:rPr>
        <w:t xml:space="preserve"> survey </w:t>
      </w:r>
      <w:r w:rsidR="00DC4305" w:rsidRPr="00411CFF">
        <w:rPr>
          <w:rFonts w:ascii="Times New Roman" w:hAnsi="Times New Roman"/>
          <w:sz w:val="24"/>
          <w:szCs w:val="24"/>
          <w:lang w:val="en-US"/>
        </w:rPr>
        <w:t>indicated that</w:t>
      </w:r>
      <w:r w:rsidR="00F40E64" w:rsidRPr="00411CFF">
        <w:rPr>
          <w:rFonts w:ascii="Times New Roman" w:hAnsi="Times New Roman"/>
          <w:sz w:val="24"/>
          <w:szCs w:val="24"/>
          <w:lang w:val="en-US"/>
        </w:rPr>
        <w:t xml:space="preserve"> 55% of international staff members have a positive view of HSE</w:t>
      </w:r>
      <w:r w:rsidR="00DC4305" w:rsidRPr="00411CFF">
        <w:rPr>
          <w:rFonts w:ascii="Times New Roman" w:hAnsi="Times New Roman"/>
          <w:sz w:val="24"/>
          <w:szCs w:val="24"/>
          <w:lang w:val="en-US"/>
        </w:rPr>
        <w:t>’s</w:t>
      </w:r>
      <w:r w:rsidR="00F40E64" w:rsidRPr="00411CFF">
        <w:rPr>
          <w:rFonts w:ascii="Times New Roman" w:hAnsi="Times New Roman"/>
          <w:sz w:val="24"/>
          <w:szCs w:val="24"/>
          <w:lang w:val="en-US"/>
        </w:rPr>
        <w:t xml:space="preserve"> adaptation services.</w:t>
      </w:r>
      <w:r w:rsidR="00F40E64" w:rsidRPr="00411CFF">
        <w:rPr>
          <w:rFonts w:ascii="Times New Roman" w:hAnsi="Times New Roman"/>
          <w:sz w:val="24"/>
          <w:szCs w:val="24"/>
        </w:rPr>
        <w:t xml:space="preserve"> </w:t>
      </w:r>
    </w:p>
    <w:p w14:paraId="38190C44" w14:textId="77777777" w:rsidR="0051131B" w:rsidRPr="0049786C" w:rsidRDefault="0051131B" w:rsidP="0051131B">
      <w:pPr>
        <w:spacing w:after="0" w:line="312" w:lineRule="auto"/>
        <w:ind w:firstLine="709"/>
        <w:jc w:val="both"/>
        <w:rPr>
          <w:rFonts w:ascii="Times New Roman" w:hAnsi="Times New Roman"/>
          <w:b/>
          <w:sz w:val="24"/>
          <w:szCs w:val="24"/>
          <w:lang w:val="en-US"/>
        </w:rPr>
      </w:pPr>
    </w:p>
    <w:p w14:paraId="59F71800" w14:textId="77777777" w:rsidR="00F40E64" w:rsidRPr="00411CFF" w:rsidRDefault="00F40E64" w:rsidP="0051131B">
      <w:pPr>
        <w:spacing w:after="0" w:line="312" w:lineRule="auto"/>
        <w:ind w:firstLine="709"/>
        <w:jc w:val="both"/>
        <w:rPr>
          <w:rFonts w:ascii="Times New Roman" w:hAnsi="Times New Roman"/>
          <w:b/>
          <w:sz w:val="24"/>
          <w:szCs w:val="24"/>
        </w:rPr>
      </w:pPr>
      <w:r w:rsidRPr="00411CFF">
        <w:rPr>
          <w:rFonts w:ascii="Times New Roman" w:hAnsi="Times New Roman"/>
          <w:b/>
          <w:sz w:val="24"/>
          <w:szCs w:val="24"/>
        </w:rPr>
        <w:t xml:space="preserve">Strategic Initiative </w:t>
      </w:r>
      <w:r w:rsidR="007501A3" w:rsidRPr="00411CFF">
        <w:rPr>
          <w:rFonts w:ascii="Times New Roman" w:hAnsi="Times New Roman"/>
          <w:b/>
          <w:sz w:val="24"/>
          <w:szCs w:val="24"/>
        </w:rPr>
        <w:t xml:space="preserve">No. </w:t>
      </w:r>
      <w:r w:rsidRPr="00411CFF">
        <w:rPr>
          <w:rFonts w:ascii="Times New Roman" w:hAnsi="Times New Roman"/>
          <w:b/>
          <w:sz w:val="24"/>
          <w:szCs w:val="24"/>
        </w:rPr>
        <w:t>5: Creating a Market-Oriented Management System</w:t>
      </w:r>
    </w:p>
    <w:p w14:paraId="18C9E5C3" w14:textId="30BF945D" w:rsidR="00343E94" w:rsidRPr="00411CFF" w:rsidRDefault="00343E94" w:rsidP="0051131B">
      <w:pPr>
        <w:spacing w:after="0" w:line="312" w:lineRule="auto"/>
        <w:ind w:firstLine="709"/>
        <w:jc w:val="both"/>
        <w:rPr>
          <w:rFonts w:ascii="Times New Roman" w:hAnsi="Times New Roman"/>
          <w:sz w:val="24"/>
          <w:szCs w:val="24"/>
          <w:lang w:val="en-US"/>
        </w:rPr>
      </w:pPr>
      <w:r>
        <w:rPr>
          <w:rFonts w:ascii="Times New Roman" w:hAnsi="Times New Roman"/>
          <w:sz w:val="24"/>
          <w:szCs w:val="24"/>
          <w:lang w:val="en-US"/>
        </w:rPr>
        <w:t>To improve</w:t>
      </w:r>
      <w:r w:rsidR="00EF57D4">
        <w:rPr>
          <w:rFonts w:ascii="Times New Roman" w:hAnsi="Times New Roman"/>
          <w:sz w:val="24"/>
          <w:szCs w:val="24"/>
          <w:lang w:val="en-US"/>
        </w:rPr>
        <w:t xml:space="preserve"> </w:t>
      </w:r>
      <w:r w:rsidR="001E0B94">
        <w:rPr>
          <w:rFonts w:ascii="Times New Roman" w:hAnsi="Times New Roman"/>
          <w:sz w:val="24"/>
          <w:szCs w:val="24"/>
          <w:lang w:val="en-US"/>
        </w:rPr>
        <w:t xml:space="preserve">university </w:t>
      </w:r>
      <w:r>
        <w:rPr>
          <w:rFonts w:ascii="Times New Roman" w:hAnsi="Times New Roman"/>
          <w:sz w:val="24"/>
          <w:szCs w:val="24"/>
          <w:lang w:val="en-US"/>
        </w:rPr>
        <w:t xml:space="preserve">research and </w:t>
      </w:r>
      <w:r w:rsidR="00527C79">
        <w:rPr>
          <w:rFonts w:ascii="Times New Roman" w:hAnsi="Times New Roman"/>
          <w:sz w:val="24"/>
          <w:szCs w:val="24"/>
          <w:lang w:val="en-US"/>
        </w:rPr>
        <w:t>education</w:t>
      </w:r>
      <w:r>
        <w:rPr>
          <w:rFonts w:ascii="Times New Roman" w:hAnsi="Times New Roman"/>
          <w:sz w:val="24"/>
          <w:szCs w:val="24"/>
          <w:lang w:val="en-US"/>
        </w:rPr>
        <w:t xml:space="preserve">, </w:t>
      </w:r>
      <w:r w:rsidR="00EF57D4">
        <w:rPr>
          <w:rFonts w:ascii="Times New Roman" w:hAnsi="Times New Roman"/>
          <w:sz w:val="24"/>
          <w:szCs w:val="24"/>
          <w:lang w:val="en-US"/>
        </w:rPr>
        <w:t>HSE</w:t>
      </w:r>
      <w:r>
        <w:rPr>
          <w:rFonts w:ascii="Times New Roman" w:hAnsi="Times New Roman"/>
          <w:sz w:val="24"/>
          <w:szCs w:val="24"/>
          <w:lang w:val="en-US"/>
        </w:rPr>
        <w:t xml:space="preserve"> </w:t>
      </w:r>
      <w:r w:rsidR="00527C79">
        <w:rPr>
          <w:rFonts w:ascii="Times New Roman" w:hAnsi="Times New Roman"/>
          <w:sz w:val="24"/>
          <w:szCs w:val="24"/>
          <w:lang w:val="en-US"/>
        </w:rPr>
        <w:t xml:space="preserve">has </w:t>
      </w:r>
      <w:r>
        <w:rPr>
          <w:rFonts w:ascii="Times New Roman" w:hAnsi="Times New Roman"/>
          <w:sz w:val="24"/>
          <w:szCs w:val="24"/>
          <w:lang w:val="en-US"/>
        </w:rPr>
        <w:t>merged multiple departments and units into</w:t>
      </w:r>
      <w:r w:rsidR="0023700C" w:rsidRPr="00411CFF">
        <w:rPr>
          <w:rFonts w:ascii="Times New Roman" w:hAnsi="Times New Roman"/>
          <w:sz w:val="24"/>
          <w:szCs w:val="24"/>
          <w:lang w:val="en-US"/>
        </w:rPr>
        <w:t xml:space="preserve"> </w:t>
      </w:r>
      <w:r w:rsidR="00F40E64" w:rsidRPr="00411CFF">
        <w:rPr>
          <w:rFonts w:ascii="Times New Roman" w:hAnsi="Times New Roman"/>
          <w:sz w:val="24"/>
          <w:szCs w:val="24"/>
          <w:lang w:val="en-US"/>
        </w:rPr>
        <w:t>10 mega-faculties with associated research subdivisions</w:t>
      </w:r>
      <w:r>
        <w:rPr>
          <w:rFonts w:ascii="Times New Roman" w:hAnsi="Times New Roman"/>
          <w:sz w:val="24"/>
          <w:szCs w:val="24"/>
          <w:lang w:val="en-US"/>
        </w:rPr>
        <w:t>.  The</w:t>
      </w:r>
      <w:r w:rsidRPr="00411CFF">
        <w:rPr>
          <w:rFonts w:ascii="Times New Roman" w:hAnsi="Times New Roman"/>
          <w:sz w:val="24"/>
          <w:szCs w:val="24"/>
          <w:lang w:val="en-US"/>
        </w:rPr>
        <w:t xml:space="preserve"> mega-faculties ensure further development of promising cross-disciplinary research and promote a multidisciplinary approach to research and education. </w:t>
      </w:r>
    </w:p>
    <w:p w14:paraId="7760A877" w14:textId="53B77E81" w:rsidR="00F40E64" w:rsidRPr="00411CFF" w:rsidRDefault="00343E94" w:rsidP="0051131B">
      <w:pPr>
        <w:spacing w:after="0" w:line="312" w:lineRule="auto"/>
        <w:ind w:firstLine="552"/>
        <w:jc w:val="both"/>
        <w:rPr>
          <w:rFonts w:ascii="Times New Roman" w:hAnsi="Times New Roman"/>
          <w:sz w:val="24"/>
          <w:szCs w:val="24"/>
          <w:lang w:val="en-US"/>
        </w:rPr>
      </w:pPr>
      <w:r>
        <w:rPr>
          <w:rFonts w:ascii="Times New Roman" w:hAnsi="Times New Roman"/>
          <w:sz w:val="24"/>
          <w:szCs w:val="24"/>
          <w:lang w:val="en-US"/>
        </w:rPr>
        <w:t xml:space="preserve">  In order to enhance physics and mathematics education and research</w:t>
      </w:r>
      <w:r w:rsidRPr="00343E94">
        <w:rPr>
          <w:rFonts w:ascii="Times New Roman" w:hAnsi="Times New Roman"/>
          <w:sz w:val="24"/>
          <w:szCs w:val="24"/>
          <w:lang w:val="en-US"/>
        </w:rPr>
        <w:t xml:space="preserve"> </w:t>
      </w:r>
      <w:r w:rsidRPr="00411CFF">
        <w:rPr>
          <w:rFonts w:ascii="Times New Roman" w:hAnsi="Times New Roman"/>
          <w:sz w:val="24"/>
          <w:szCs w:val="24"/>
          <w:lang w:val="en-US"/>
        </w:rPr>
        <w:t xml:space="preserve">associated with </w:t>
      </w:r>
      <w:r w:rsidR="001E0B94">
        <w:rPr>
          <w:rFonts w:ascii="Times New Roman" w:hAnsi="Times New Roman"/>
          <w:sz w:val="24"/>
          <w:szCs w:val="24"/>
          <w:lang w:val="en-US"/>
        </w:rPr>
        <w:t xml:space="preserve">the </w:t>
      </w:r>
      <w:r w:rsidRPr="00411CFF">
        <w:rPr>
          <w:rFonts w:ascii="Times New Roman" w:hAnsi="Times New Roman"/>
          <w:sz w:val="24"/>
          <w:szCs w:val="24"/>
          <w:lang w:val="en-US"/>
        </w:rPr>
        <w:t>institutes of the Russian Academy of Sciences (RAS)</w:t>
      </w:r>
      <w:r w:rsidR="00F40E64" w:rsidRPr="00411CFF">
        <w:rPr>
          <w:rFonts w:ascii="Times New Roman" w:hAnsi="Times New Roman"/>
          <w:sz w:val="24"/>
          <w:szCs w:val="24"/>
          <w:lang w:val="en-US"/>
        </w:rPr>
        <w:t xml:space="preserve">, the Faculty of Physics </w:t>
      </w:r>
      <w:r w:rsidR="0023700C" w:rsidRPr="00411CFF">
        <w:rPr>
          <w:rFonts w:ascii="Times New Roman" w:hAnsi="Times New Roman"/>
          <w:sz w:val="24"/>
          <w:szCs w:val="24"/>
          <w:lang w:val="en-US"/>
        </w:rPr>
        <w:t>was opened</w:t>
      </w:r>
      <w:r w:rsidR="00F40E64" w:rsidRPr="00411CFF">
        <w:rPr>
          <w:rFonts w:ascii="Times New Roman" w:hAnsi="Times New Roman"/>
          <w:sz w:val="24"/>
          <w:szCs w:val="24"/>
          <w:lang w:val="en-US"/>
        </w:rPr>
        <w:t xml:space="preserve">. </w:t>
      </w:r>
    </w:p>
    <w:p w14:paraId="75CCB4A9" w14:textId="2C51241D" w:rsidR="00F40E64" w:rsidRPr="00411CFF" w:rsidRDefault="00F40E64" w:rsidP="0051131B">
      <w:pPr>
        <w:spacing w:after="0" w:line="312" w:lineRule="auto"/>
        <w:ind w:firstLine="709"/>
        <w:jc w:val="both"/>
        <w:rPr>
          <w:rFonts w:ascii="Times New Roman" w:hAnsi="Times New Roman"/>
          <w:sz w:val="24"/>
          <w:szCs w:val="24"/>
          <w:lang w:val="en-US"/>
        </w:rPr>
      </w:pPr>
      <w:r w:rsidRPr="00411CFF">
        <w:rPr>
          <w:rFonts w:ascii="Times New Roman" w:hAnsi="Times New Roman"/>
          <w:sz w:val="24"/>
          <w:szCs w:val="24"/>
          <w:lang w:val="en-US"/>
        </w:rPr>
        <w:t xml:space="preserve">Two types of Strategic Academic Units (STRA-Us) have been established </w:t>
      </w:r>
      <w:r w:rsidR="00341AF0" w:rsidRPr="00411CFF">
        <w:rPr>
          <w:rFonts w:ascii="Times New Roman" w:hAnsi="Times New Roman"/>
          <w:sz w:val="24"/>
          <w:szCs w:val="24"/>
          <w:lang w:val="en-US"/>
        </w:rPr>
        <w:t>in HSE’s</w:t>
      </w:r>
      <w:r w:rsidRPr="00411CFF">
        <w:rPr>
          <w:rFonts w:ascii="Times New Roman" w:hAnsi="Times New Roman"/>
          <w:sz w:val="24"/>
          <w:szCs w:val="24"/>
          <w:lang w:val="en-US"/>
        </w:rPr>
        <w:t xml:space="preserve"> priority areas </w:t>
      </w:r>
      <w:r w:rsidR="00341AF0" w:rsidRPr="00411CFF">
        <w:rPr>
          <w:rFonts w:ascii="Times New Roman" w:hAnsi="Times New Roman"/>
          <w:sz w:val="24"/>
          <w:szCs w:val="24"/>
          <w:lang w:val="en-US"/>
        </w:rPr>
        <w:t xml:space="preserve">of study </w:t>
      </w:r>
      <w:r w:rsidR="001E0B94">
        <w:rPr>
          <w:rFonts w:ascii="Times New Roman" w:hAnsi="Times New Roman"/>
          <w:sz w:val="24"/>
          <w:szCs w:val="24"/>
          <w:lang w:val="en-US"/>
        </w:rPr>
        <w:t>using</w:t>
      </w:r>
      <w:r w:rsidRPr="00411CFF">
        <w:rPr>
          <w:rFonts w:ascii="Times New Roman" w:hAnsi="Times New Roman"/>
          <w:sz w:val="24"/>
          <w:szCs w:val="24"/>
          <w:lang w:val="en-US"/>
        </w:rPr>
        <w:t xml:space="preserve"> the following criteria: </w:t>
      </w:r>
    </w:p>
    <w:p w14:paraId="493BAA09" w14:textId="090A90D9" w:rsidR="00F40E64" w:rsidRPr="00B00F78" w:rsidRDefault="001E0B94" w:rsidP="0051131B">
      <w:pPr>
        <w:numPr>
          <w:ilvl w:val="0"/>
          <w:numId w:val="8"/>
        </w:numPr>
        <w:shd w:val="clear" w:color="auto" w:fill="FFFFFF"/>
        <w:spacing w:after="0" w:line="312" w:lineRule="auto"/>
        <w:ind w:left="552"/>
        <w:jc w:val="both"/>
        <w:rPr>
          <w:rFonts w:ascii="Times New Roman" w:eastAsia="Times New Roman" w:hAnsi="Times New Roman"/>
          <w:color w:val="000000"/>
          <w:sz w:val="24"/>
          <w:szCs w:val="24"/>
          <w:lang w:val="en-US" w:eastAsia="ru-RU"/>
        </w:rPr>
      </w:pPr>
      <w:r w:rsidRPr="001E0B94">
        <w:rPr>
          <w:rFonts w:ascii="Times New Roman" w:eastAsia="Times New Roman" w:hAnsi="Times New Roman"/>
          <w:color w:val="000000"/>
          <w:sz w:val="24"/>
          <w:szCs w:val="24"/>
          <w:lang w:val="en-US" w:eastAsia="ru-RU"/>
        </w:rPr>
        <w:t>Research</w:t>
      </w:r>
      <w:r w:rsidR="00341AF0" w:rsidRPr="00B00F78">
        <w:rPr>
          <w:rFonts w:ascii="Times New Roman" w:eastAsia="Times New Roman" w:hAnsi="Times New Roman"/>
          <w:color w:val="000000"/>
          <w:sz w:val="24"/>
          <w:szCs w:val="24"/>
          <w:lang w:val="en-US" w:eastAsia="ru-RU"/>
        </w:rPr>
        <w:t xml:space="preserve"> </w:t>
      </w:r>
      <w:r w:rsidR="00F40E64" w:rsidRPr="00B00F78">
        <w:rPr>
          <w:rFonts w:ascii="Times New Roman" w:eastAsia="Times New Roman" w:hAnsi="Times New Roman"/>
          <w:color w:val="000000"/>
          <w:sz w:val="24"/>
          <w:szCs w:val="24"/>
          <w:lang w:val="en-US" w:eastAsia="ru-RU"/>
        </w:rPr>
        <w:t xml:space="preserve">must be consistent with global </w:t>
      </w:r>
      <w:r w:rsidR="00FC799B" w:rsidRPr="00B00F78">
        <w:rPr>
          <w:rFonts w:ascii="Times New Roman" w:eastAsia="Times New Roman" w:hAnsi="Times New Roman"/>
          <w:color w:val="000000"/>
          <w:sz w:val="24"/>
          <w:szCs w:val="24"/>
          <w:lang w:val="en-US" w:eastAsia="ru-RU"/>
        </w:rPr>
        <w:t>trends and developments</w:t>
      </w:r>
      <w:r w:rsidR="00341AF0" w:rsidRPr="00B00F78">
        <w:rPr>
          <w:rFonts w:ascii="Times New Roman" w:eastAsia="Times New Roman" w:hAnsi="Times New Roman"/>
          <w:color w:val="000000"/>
          <w:sz w:val="24"/>
          <w:szCs w:val="24"/>
          <w:lang w:val="en-US" w:eastAsia="ru-RU"/>
        </w:rPr>
        <w:t>;</w:t>
      </w:r>
      <w:r w:rsidR="00F40E64" w:rsidRPr="00B00F78">
        <w:rPr>
          <w:rFonts w:ascii="Times New Roman" w:eastAsia="Times New Roman" w:hAnsi="Times New Roman"/>
          <w:color w:val="000000"/>
          <w:sz w:val="24"/>
          <w:szCs w:val="24"/>
          <w:lang w:val="en-US" w:eastAsia="ru-RU"/>
        </w:rPr>
        <w:t xml:space="preserve"> each STRA-U must </w:t>
      </w:r>
      <w:r w:rsidR="00343E94">
        <w:rPr>
          <w:rFonts w:ascii="Times New Roman" w:eastAsia="Times New Roman" w:hAnsi="Times New Roman"/>
          <w:color w:val="000000"/>
          <w:sz w:val="24"/>
          <w:szCs w:val="24"/>
          <w:lang w:val="en-US" w:eastAsia="ru-RU"/>
        </w:rPr>
        <w:t>participate</w:t>
      </w:r>
      <w:r w:rsidR="00F40E64" w:rsidRPr="00B00F78">
        <w:rPr>
          <w:rFonts w:ascii="Times New Roman" w:eastAsia="Times New Roman" w:hAnsi="Times New Roman"/>
          <w:color w:val="000000"/>
          <w:sz w:val="24"/>
          <w:szCs w:val="24"/>
          <w:lang w:val="en-US" w:eastAsia="ru-RU"/>
        </w:rPr>
        <w:t xml:space="preserve"> in international research networks;</w:t>
      </w:r>
    </w:p>
    <w:p w14:paraId="10F6F1D1" w14:textId="75639963" w:rsidR="00F40E64" w:rsidRPr="00B00F78" w:rsidRDefault="001E0B94" w:rsidP="0051131B">
      <w:pPr>
        <w:numPr>
          <w:ilvl w:val="0"/>
          <w:numId w:val="8"/>
        </w:numPr>
        <w:shd w:val="clear" w:color="auto" w:fill="FFFFFF"/>
        <w:spacing w:after="0" w:line="312" w:lineRule="auto"/>
        <w:ind w:left="552"/>
        <w:jc w:val="both"/>
        <w:rPr>
          <w:rFonts w:ascii="Times New Roman" w:eastAsia="Times New Roman" w:hAnsi="Times New Roman"/>
          <w:color w:val="000000"/>
          <w:sz w:val="24"/>
          <w:szCs w:val="24"/>
          <w:lang w:val="en-US" w:eastAsia="ru-RU"/>
        </w:rPr>
      </w:pPr>
      <w:r w:rsidRPr="001E0B94">
        <w:rPr>
          <w:rFonts w:ascii="Times New Roman" w:eastAsia="Times New Roman" w:hAnsi="Times New Roman"/>
          <w:color w:val="000000"/>
          <w:sz w:val="24"/>
          <w:szCs w:val="24"/>
          <w:lang w:val="en-US" w:eastAsia="ru-RU"/>
        </w:rPr>
        <w:t>Research</w:t>
      </w:r>
      <w:r w:rsidR="00EC2755" w:rsidRPr="00B00F78">
        <w:rPr>
          <w:rFonts w:ascii="Times New Roman" w:eastAsia="Times New Roman" w:hAnsi="Times New Roman"/>
          <w:color w:val="000000"/>
          <w:sz w:val="24"/>
          <w:szCs w:val="24"/>
          <w:lang w:val="en-US" w:eastAsia="ru-RU"/>
        </w:rPr>
        <w:t xml:space="preserve"> </w:t>
      </w:r>
      <w:r w:rsidR="00F40E64" w:rsidRPr="00B00F78">
        <w:rPr>
          <w:rFonts w:ascii="Times New Roman" w:eastAsia="Times New Roman" w:hAnsi="Times New Roman"/>
          <w:color w:val="000000"/>
          <w:sz w:val="24"/>
          <w:szCs w:val="24"/>
          <w:lang w:val="en-US" w:eastAsia="ru-RU"/>
        </w:rPr>
        <w:t xml:space="preserve">must be relevant to Russia’s national geopolitical interests and/or </w:t>
      </w:r>
      <w:proofErr w:type="spellStart"/>
      <w:r w:rsidR="00F40E64" w:rsidRPr="00B00F78">
        <w:rPr>
          <w:rFonts w:ascii="Times New Roman" w:eastAsia="Times New Roman" w:hAnsi="Times New Roman"/>
          <w:color w:val="000000"/>
          <w:sz w:val="24"/>
          <w:szCs w:val="24"/>
          <w:lang w:val="en-US" w:eastAsia="ru-RU"/>
        </w:rPr>
        <w:t>sectoral</w:t>
      </w:r>
      <w:proofErr w:type="spellEnd"/>
      <w:r w:rsidR="00F40E64" w:rsidRPr="00B00F78">
        <w:rPr>
          <w:rFonts w:ascii="Times New Roman" w:eastAsia="Times New Roman" w:hAnsi="Times New Roman"/>
          <w:color w:val="000000"/>
          <w:sz w:val="24"/>
          <w:szCs w:val="24"/>
          <w:lang w:val="en-US" w:eastAsia="ru-RU"/>
        </w:rPr>
        <w:t xml:space="preserve"> priorities;</w:t>
      </w:r>
    </w:p>
    <w:p w14:paraId="6CA78A88" w14:textId="7562A169" w:rsidR="00F40E64" w:rsidRPr="00B00F78" w:rsidRDefault="001E0B94" w:rsidP="0051131B">
      <w:pPr>
        <w:numPr>
          <w:ilvl w:val="0"/>
          <w:numId w:val="8"/>
        </w:numPr>
        <w:shd w:val="clear" w:color="auto" w:fill="FFFFFF"/>
        <w:spacing w:after="0" w:line="312" w:lineRule="auto"/>
        <w:ind w:left="552"/>
        <w:jc w:val="both"/>
        <w:rPr>
          <w:rFonts w:ascii="Times New Roman" w:eastAsia="Times New Roman" w:hAnsi="Times New Roman"/>
          <w:color w:val="000000"/>
          <w:sz w:val="24"/>
          <w:szCs w:val="24"/>
          <w:lang w:val="en-US" w:eastAsia="ru-RU"/>
        </w:rPr>
      </w:pPr>
      <w:r w:rsidRPr="001E0B94">
        <w:rPr>
          <w:rFonts w:ascii="Times New Roman" w:eastAsia="Times New Roman" w:hAnsi="Times New Roman"/>
          <w:color w:val="000000"/>
          <w:sz w:val="24"/>
          <w:szCs w:val="24"/>
          <w:lang w:val="en-US" w:eastAsia="ru-RU"/>
        </w:rPr>
        <w:t>Individual</w:t>
      </w:r>
      <w:r w:rsidR="00EC2755" w:rsidRPr="00B00F78">
        <w:rPr>
          <w:rFonts w:ascii="Times New Roman" w:eastAsia="Times New Roman" w:hAnsi="Times New Roman"/>
          <w:color w:val="000000"/>
          <w:sz w:val="24"/>
          <w:szCs w:val="24"/>
          <w:lang w:val="en-US" w:eastAsia="ru-RU"/>
        </w:rPr>
        <w:t xml:space="preserve"> </w:t>
      </w:r>
      <w:r w:rsidR="00F40E64" w:rsidRPr="00B00F78">
        <w:rPr>
          <w:rFonts w:ascii="Times New Roman" w:eastAsia="Times New Roman" w:hAnsi="Times New Roman"/>
          <w:color w:val="000000"/>
          <w:sz w:val="24"/>
          <w:szCs w:val="24"/>
          <w:lang w:val="en-US" w:eastAsia="ru-RU"/>
        </w:rPr>
        <w:t xml:space="preserve">STRA-Us must serve as expert analytical </w:t>
      </w:r>
      <w:r w:rsidR="00343E94" w:rsidRPr="00DA420A">
        <w:rPr>
          <w:rFonts w:ascii="Times New Roman" w:eastAsia="Times New Roman" w:hAnsi="Times New Roman"/>
          <w:color w:val="000000"/>
          <w:sz w:val="24"/>
          <w:szCs w:val="24"/>
          <w:lang w:val="en-US" w:eastAsia="ru-RU"/>
        </w:rPr>
        <w:t xml:space="preserve">public policy </w:t>
      </w:r>
      <w:r w:rsidR="00F40E64" w:rsidRPr="00B00F78">
        <w:rPr>
          <w:rFonts w:ascii="Times New Roman" w:eastAsia="Times New Roman" w:hAnsi="Times New Roman"/>
          <w:color w:val="000000"/>
          <w:sz w:val="24"/>
          <w:szCs w:val="24"/>
          <w:lang w:val="en-US" w:eastAsia="ru-RU"/>
        </w:rPr>
        <w:t xml:space="preserve">centres in economic and social development, education, science and </w:t>
      </w:r>
      <w:r w:rsidR="00944FDA" w:rsidRPr="00B00F78">
        <w:rPr>
          <w:rFonts w:ascii="Times New Roman" w:eastAsia="Times New Roman" w:hAnsi="Times New Roman"/>
          <w:color w:val="000000"/>
          <w:sz w:val="24"/>
          <w:szCs w:val="24"/>
          <w:lang w:val="en-US" w:eastAsia="ru-RU"/>
        </w:rPr>
        <w:t>technolo</w:t>
      </w:r>
      <w:r w:rsidR="00343E94">
        <w:rPr>
          <w:rFonts w:ascii="Times New Roman" w:eastAsia="Times New Roman" w:hAnsi="Times New Roman"/>
          <w:color w:val="000000"/>
          <w:sz w:val="24"/>
          <w:szCs w:val="24"/>
          <w:lang w:val="en-US" w:eastAsia="ru-RU"/>
        </w:rPr>
        <w:t>gy</w:t>
      </w:r>
      <w:r w:rsidR="00944FDA" w:rsidRPr="00B00F78">
        <w:rPr>
          <w:rFonts w:ascii="Times New Roman" w:eastAsia="Times New Roman" w:hAnsi="Times New Roman"/>
          <w:color w:val="000000"/>
          <w:sz w:val="24"/>
          <w:szCs w:val="24"/>
          <w:lang w:val="en-US" w:eastAsia="ru-RU"/>
        </w:rPr>
        <w:t xml:space="preserve"> </w:t>
      </w:r>
      <w:r w:rsidR="00F40E64" w:rsidRPr="00B00F78">
        <w:rPr>
          <w:rFonts w:ascii="Times New Roman" w:eastAsia="Times New Roman" w:hAnsi="Times New Roman"/>
          <w:color w:val="000000"/>
          <w:sz w:val="24"/>
          <w:szCs w:val="24"/>
          <w:lang w:val="en-US" w:eastAsia="ru-RU"/>
        </w:rPr>
        <w:t>forecasting</w:t>
      </w:r>
      <w:r w:rsidR="00A36FDF" w:rsidRPr="00B00F78">
        <w:rPr>
          <w:rFonts w:ascii="Times New Roman" w:eastAsia="Times New Roman" w:hAnsi="Times New Roman"/>
          <w:color w:val="000000"/>
          <w:sz w:val="24"/>
          <w:szCs w:val="24"/>
          <w:lang w:val="en-US" w:eastAsia="ru-RU"/>
        </w:rPr>
        <w:t>,</w:t>
      </w:r>
      <w:r w:rsidR="00F40E64" w:rsidRPr="00B00F78">
        <w:rPr>
          <w:rFonts w:ascii="Times New Roman" w:eastAsia="Times New Roman" w:hAnsi="Times New Roman"/>
          <w:color w:val="000000"/>
          <w:sz w:val="24"/>
          <w:szCs w:val="24"/>
          <w:lang w:val="en-US" w:eastAsia="ru-RU"/>
        </w:rPr>
        <w:t xml:space="preserve"> and state-building; each unit should make a significant contribution to the development of </w:t>
      </w:r>
      <w:r w:rsidR="00944FDA" w:rsidRPr="00B00F78">
        <w:rPr>
          <w:rFonts w:ascii="Times New Roman" w:eastAsia="Times New Roman" w:hAnsi="Times New Roman"/>
          <w:color w:val="000000"/>
          <w:sz w:val="24"/>
          <w:szCs w:val="24"/>
          <w:lang w:val="en-US" w:eastAsia="ru-RU"/>
        </w:rPr>
        <w:t>Russia’s</w:t>
      </w:r>
      <w:r w:rsidR="00F40E64" w:rsidRPr="00B00F78">
        <w:rPr>
          <w:rFonts w:ascii="Times New Roman" w:eastAsia="Times New Roman" w:hAnsi="Times New Roman"/>
          <w:color w:val="000000"/>
          <w:sz w:val="24"/>
          <w:szCs w:val="24"/>
          <w:lang w:val="en-US" w:eastAsia="ru-RU"/>
        </w:rPr>
        <w:t xml:space="preserve"> economy;</w:t>
      </w:r>
    </w:p>
    <w:p w14:paraId="727A78AB" w14:textId="77777777" w:rsidR="00F40E64" w:rsidRPr="00B00F78" w:rsidRDefault="00F40E64" w:rsidP="0051131B">
      <w:pPr>
        <w:numPr>
          <w:ilvl w:val="0"/>
          <w:numId w:val="8"/>
        </w:numPr>
        <w:shd w:val="clear" w:color="auto" w:fill="FFFFFF"/>
        <w:spacing w:after="0" w:line="312" w:lineRule="auto"/>
        <w:ind w:left="552"/>
        <w:jc w:val="both"/>
        <w:rPr>
          <w:rFonts w:ascii="Times New Roman" w:eastAsia="Times New Roman" w:hAnsi="Times New Roman"/>
          <w:color w:val="000000"/>
          <w:sz w:val="24"/>
          <w:szCs w:val="24"/>
          <w:lang w:val="en-US" w:eastAsia="ru-RU"/>
        </w:rPr>
      </w:pPr>
      <w:r w:rsidRPr="00B00F78">
        <w:rPr>
          <w:rFonts w:ascii="Times New Roman" w:eastAsia="Times New Roman" w:hAnsi="Times New Roman"/>
          <w:color w:val="000000"/>
          <w:sz w:val="24"/>
          <w:szCs w:val="24"/>
          <w:lang w:val="en-US" w:eastAsia="ru-RU"/>
        </w:rPr>
        <w:t>STRA-</w:t>
      </w:r>
      <w:proofErr w:type="gramStart"/>
      <w:r w:rsidR="00EC2755" w:rsidRPr="00B00F78">
        <w:rPr>
          <w:rFonts w:ascii="Times New Roman" w:eastAsia="Times New Roman" w:hAnsi="Times New Roman"/>
          <w:color w:val="000000"/>
          <w:sz w:val="24"/>
          <w:szCs w:val="24"/>
          <w:lang w:val="en-US" w:eastAsia="ru-RU"/>
        </w:rPr>
        <w:t>Us</w:t>
      </w:r>
      <w:proofErr w:type="gramEnd"/>
      <w:r w:rsidR="00A36FDF" w:rsidRPr="00B00F78">
        <w:rPr>
          <w:rFonts w:ascii="Times New Roman" w:eastAsia="Times New Roman" w:hAnsi="Times New Roman"/>
          <w:color w:val="000000"/>
          <w:sz w:val="24"/>
          <w:szCs w:val="24"/>
          <w:lang w:val="en-US" w:eastAsia="ru-RU"/>
        </w:rPr>
        <w:t xml:space="preserve"> must implement</w:t>
      </w:r>
      <w:r w:rsidR="00EC2755" w:rsidRPr="00B00F78">
        <w:rPr>
          <w:rFonts w:ascii="Times New Roman" w:eastAsia="Times New Roman" w:hAnsi="Times New Roman"/>
          <w:color w:val="000000"/>
          <w:sz w:val="24"/>
          <w:szCs w:val="24"/>
          <w:lang w:val="en-US" w:eastAsia="ru-RU"/>
        </w:rPr>
        <w:t xml:space="preserve"> </w:t>
      </w:r>
      <w:r w:rsidRPr="00B00F78">
        <w:rPr>
          <w:rFonts w:ascii="Times New Roman" w:eastAsia="Times New Roman" w:hAnsi="Times New Roman"/>
          <w:color w:val="000000"/>
          <w:sz w:val="24"/>
          <w:szCs w:val="24"/>
          <w:lang w:val="en-US" w:eastAsia="ru-RU"/>
        </w:rPr>
        <w:t xml:space="preserve">educational programmes </w:t>
      </w:r>
      <w:r w:rsidR="00A36FDF" w:rsidRPr="00B00F78">
        <w:rPr>
          <w:rFonts w:ascii="Times New Roman" w:eastAsia="Times New Roman" w:hAnsi="Times New Roman"/>
          <w:color w:val="000000"/>
          <w:sz w:val="24"/>
          <w:szCs w:val="24"/>
          <w:lang w:val="en-US" w:eastAsia="ru-RU"/>
        </w:rPr>
        <w:t>at</w:t>
      </w:r>
      <w:r w:rsidRPr="00B00F78">
        <w:rPr>
          <w:rFonts w:ascii="Times New Roman" w:eastAsia="Times New Roman" w:hAnsi="Times New Roman"/>
          <w:color w:val="000000"/>
          <w:sz w:val="24"/>
          <w:szCs w:val="24"/>
          <w:lang w:val="en-US" w:eastAsia="ru-RU"/>
        </w:rPr>
        <w:t xml:space="preserve"> various levels (undergraduate, specialist, Master’s and doctoral programmes).</w:t>
      </w:r>
    </w:p>
    <w:p w14:paraId="046E8A45" w14:textId="3A1E9C43" w:rsidR="00F40E64" w:rsidRPr="00411CFF" w:rsidRDefault="00F40E64" w:rsidP="0051131B">
      <w:pPr>
        <w:shd w:val="clear" w:color="auto" w:fill="FFFFFF"/>
        <w:spacing w:after="0" w:line="312" w:lineRule="auto"/>
        <w:ind w:firstLine="709"/>
        <w:jc w:val="both"/>
        <w:rPr>
          <w:rFonts w:ascii="Times New Roman" w:hAnsi="Times New Roman"/>
          <w:sz w:val="24"/>
          <w:szCs w:val="24"/>
          <w:lang w:val="en-US"/>
        </w:rPr>
      </w:pPr>
      <w:r w:rsidRPr="00411CFF">
        <w:rPr>
          <w:rFonts w:ascii="Times New Roman" w:hAnsi="Times New Roman"/>
          <w:sz w:val="24"/>
          <w:szCs w:val="24"/>
          <w:lang w:val="en-US"/>
        </w:rPr>
        <w:t xml:space="preserve">The first type of STRA-U includes major consortia, </w:t>
      </w:r>
      <w:r w:rsidR="001E0B94">
        <w:rPr>
          <w:rFonts w:ascii="Times New Roman" w:hAnsi="Times New Roman"/>
          <w:sz w:val="24"/>
          <w:szCs w:val="24"/>
          <w:lang w:val="en-US"/>
        </w:rPr>
        <w:t>linked</w:t>
      </w:r>
      <w:r w:rsidRPr="00411CFF">
        <w:rPr>
          <w:rFonts w:ascii="Times New Roman" w:hAnsi="Times New Roman"/>
          <w:sz w:val="24"/>
          <w:szCs w:val="24"/>
          <w:lang w:val="en-US"/>
        </w:rPr>
        <w:t xml:space="preserve"> to the university’s core areas</w:t>
      </w:r>
      <w:r w:rsidR="00261271" w:rsidRPr="00411CFF">
        <w:rPr>
          <w:rFonts w:ascii="Times New Roman" w:hAnsi="Times New Roman"/>
          <w:sz w:val="24"/>
          <w:szCs w:val="24"/>
          <w:lang w:val="en-US"/>
        </w:rPr>
        <w:t xml:space="preserve"> of study</w:t>
      </w:r>
      <w:r w:rsidRPr="00411CFF">
        <w:rPr>
          <w:rFonts w:ascii="Times New Roman" w:hAnsi="Times New Roman"/>
          <w:sz w:val="24"/>
          <w:szCs w:val="24"/>
          <w:lang w:val="en-US"/>
        </w:rPr>
        <w:t>. They are</w:t>
      </w:r>
      <w:r w:rsidR="00754384" w:rsidRPr="00411CFF">
        <w:rPr>
          <w:rFonts w:ascii="Times New Roman" w:hAnsi="Times New Roman"/>
          <w:sz w:val="24"/>
          <w:szCs w:val="24"/>
          <w:lang w:val="en-US"/>
        </w:rPr>
        <w:t xml:space="preserve"> internationally</w:t>
      </w:r>
      <w:r w:rsidRPr="00411CFF">
        <w:rPr>
          <w:rFonts w:ascii="Times New Roman" w:hAnsi="Times New Roman"/>
          <w:sz w:val="24"/>
          <w:szCs w:val="24"/>
          <w:lang w:val="en-US"/>
        </w:rPr>
        <w:t xml:space="preserve"> recognized (</w:t>
      </w:r>
      <w:r w:rsidR="00342856" w:rsidRPr="00411CFF">
        <w:rPr>
          <w:rFonts w:ascii="Times New Roman" w:hAnsi="Times New Roman"/>
          <w:sz w:val="24"/>
          <w:szCs w:val="24"/>
          <w:lang w:val="en-US"/>
        </w:rPr>
        <w:t xml:space="preserve">as </w:t>
      </w:r>
      <w:r w:rsidRPr="00411CFF">
        <w:rPr>
          <w:rFonts w:ascii="Times New Roman" w:hAnsi="Times New Roman"/>
          <w:sz w:val="24"/>
          <w:szCs w:val="24"/>
          <w:lang w:val="en-US"/>
        </w:rPr>
        <w:t>is reflected in their international rankings</w:t>
      </w:r>
      <w:r w:rsidR="00E71505">
        <w:rPr>
          <w:rFonts w:ascii="Times New Roman" w:hAnsi="Times New Roman"/>
          <w:sz w:val="24"/>
          <w:szCs w:val="24"/>
          <w:lang w:val="en-US"/>
        </w:rPr>
        <w:t>) and</w:t>
      </w:r>
      <w:r w:rsidRPr="00411CFF">
        <w:rPr>
          <w:rFonts w:ascii="Times New Roman" w:hAnsi="Times New Roman"/>
          <w:sz w:val="24"/>
          <w:szCs w:val="24"/>
          <w:lang w:val="en-US"/>
        </w:rPr>
        <w:t xml:space="preserve"> possess a high </w:t>
      </w:r>
      <w:r w:rsidR="001E0B94">
        <w:rPr>
          <w:rFonts w:ascii="Times New Roman" w:hAnsi="Times New Roman"/>
          <w:sz w:val="24"/>
          <w:szCs w:val="24"/>
          <w:lang w:val="en-US"/>
        </w:rPr>
        <w:t>potential</w:t>
      </w:r>
      <w:r w:rsidR="001E0B94" w:rsidRPr="00411CFF">
        <w:rPr>
          <w:rFonts w:ascii="Times New Roman" w:hAnsi="Times New Roman"/>
          <w:sz w:val="24"/>
          <w:szCs w:val="24"/>
          <w:lang w:val="en-US"/>
        </w:rPr>
        <w:t xml:space="preserve"> </w:t>
      </w:r>
      <w:r w:rsidRPr="00411CFF">
        <w:rPr>
          <w:rFonts w:ascii="Times New Roman" w:hAnsi="Times New Roman"/>
          <w:sz w:val="24"/>
          <w:szCs w:val="24"/>
          <w:lang w:val="en-US"/>
        </w:rPr>
        <w:t xml:space="preserve">for further dynamic development. These consortia </w:t>
      </w:r>
      <w:r w:rsidR="00342856" w:rsidRPr="00411CFF">
        <w:rPr>
          <w:rFonts w:ascii="Times New Roman" w:hAnsi="Times New Roman"/>
          <w:sz w:val="24"/>
          <w:szCs w:val="24"/>
          <w:lang w:val="en-US"/>
        </w:rPr>
        <w:t xml:space="preserve">have been </w:t>
      </w:r>
      <w:r w:rsidRPr="00411CFF">
        <w:rPr>
          <w:rFonts w:ascii="Times New Roman" w:hAnsi="Times New Roman"/>
          <w:sz w:val="24"/>
          <w:szCs w:val="24"/>
          <w:lang w:val="en-US"/>
        </w:rPr>
        <w:t>formed from one or more mega-faculties and academic units</w:t>
      </w:r>
      <w:r w:rsidR="001E0B94">
        <w:rPr>
          <w:rFonts w:ascii="Times New Roman" w:hAnsi="Times New Roman"/>
          <w:sz w:val="24"/>
          <w:szCs w:val="24"/>
          <w:lang w:val="en-US"/>
        </w:rPr>
        <w:t>.  They</w:t>
      </w:r>
      <w:r w:rsidRPr="00411CFF">
        <w:rPr>
          <w:rFonts w:ascii="Times New Roman" w:hAnsi="Times New Roman"/>
          <w:sz w:val="24"/>
          <w:szCs w:val="24"/>
          <w:lang w:val="en-US"/>
        </w:rPr>
        <w:t xml:space="preserve"> offer educational programmes at all levels</w:t>
      </w:r>
      <w:r w:rsidR="001E0B94">
        <w:rPr>
          <w:rFonts w:ascii="Times New Roman" w:hAnsi="Times New Roman"/>
          <w:sz w:val="24"/>
          <w:szCs w:val="24"/>
          <w:lang w:val="en-US"/>
        </w:rPr>
        <w:t>;</w:t>
      </w:r>
      <w:r w:rsidR="00E71505">
        <w:rPr>
          <w:rFonts w:ascii="Times New Roman" w:hAnsi="Times New Roman"/>
          <w:sz w:val="24"/>
          <w:szCs w:val="24"/>
          <w:lang w:val="en-US"/>
        </w:rPr>
        <w:t xml:space="preserve"> t</w:t>
      </w:r>
      <w:r w:rsidRPr="00411CFF">
        <w:rPr>
          <w:rFonts w:ascii="Times New Roman" w:hAnsi="Times New Roman"/>
          <w:sz w:val="24"/>
          <w:szCs w:val="24"/>
          <w:lang w:val="en-US"/>
        </w:rPr>
        <w:t>heir research efforts have been integrated</w:t>
      </w:r>
      <w:r w:rsidR="001C57B4" w:rsidRPr="00411CFF">
        <w:rPr>
          <w:rFonts w:ascii="Times New Roman" w:hAnsi="Times New Roman"/>
          <w:sz w:val="24"/>
          <w:szCs w:val="24"/>
          <w:lang w:val="en-US"/>
        </w:rPr>
        <w:t>,</w:t>
      </w:r>
      <w:r w:rsidRPr="00411CFF">
        <w:rPr>
          <w:rFonts w:ascii="Times New Roman" w:hAnsi="Times New Roman"/>
          <w:sz w:val="24"/>
          <w:szCs w:val="24"/>
          <w:lang w:val="en-US"/>
        </w:rPr>
        <w:t xml:space="preserve"> or </w:t>
      </w:r>
      <w:r w:rsidR="001E0B94">
        <w:rPr>
          <w:rFonts w:ascii="Times New Roman" w:hAnsi="Times New Roman"/>
          <w:sz w:val="24"/>
          <w:szCs w:val="24"/>
          <w:lang w:val="en-US"/>
        </w:rPr>
        <w:t xml:space="preserve">can be </w:t>
      </w:r>
      <w:r w:rsidRPr="00411CFF">
        <w:rPr>
          <w:rFonts w:ascii="Times New Roman" w:hAnsi="Times New Roman"/>
          <w:sz w:val="24"/>
          <w:szCs w:val="24"/>
          <w:lang w:val="en-US"/>
        </w:rPr>
        <w:t>integrated</w:t>
      </w:r>
      <w:r w:rsidR="001E0B94">
        <w:rPr>
          <w:rFonts w:ascii="Times New Roman" w:hAnsi="Times New Roman"/>
          <w:sz w:val="24"/>
          <w:szCs w:val="24"/>
          <w:lang w:val="en-US"/>
        </w:rPr>
        <w:t xml:space="preserve"> into</w:t>
      </w:r>
      <w:r w:rsidRPr="00411CFF">
        <w:rPr>
          <w:rFonts w:ascii="Times New Roman" w:hAnsi="Times New Roman"/>
          <w:sz w:val="24"/>
          <w:szCs w:val="24"/>
          <w:lang w:val="en-US"/>
        </w:rPr>
        <w:t xml:space="preserve"> the global research agenda</w:t>
      </w:r>
      <w:r w:rsidR="001C57B4" w:rsidRPr="00411CFF">
        <w:rPr>
          <w:rFonts w:ascii="Times New Roman" w:hAnsi="Times New Roman"/>
          <w:sz w:val="24"/>
          <w:szCs w:val="24"/>
          <w:lang w:val="en-US"/>
        </w:rPr>
        <w:t>.</w:t>
      </w:r>
    </w:p>
    <w:p w14:paraId="6CA56B46" w14:textId="36B7E1B1" w:rsidR="001C57B4" w:rsidRPr="00411CFF" w:rsidRDefault="001C57B4" w:rsidP="0051131B">
      <w:pPr>
        <w:shd w:val="clear" w:color="auto" w:fill="FFFFFF"/>
        <w:spacing w:after="0" w:line="312" w:lineRule="auto"/>
        <w:ind w:firstLine="709"/>
        <w:jc w:val="both"/>
        <w:rPr>
          <w:rFonts w:ascii="Times New Roman" w:hAnsi="Times New Roman"/>
          <w:sz w:val="24"/>
          <w:szCs w:val="24"/>
          <w:lang w:val="en-US"/>
        </w:rPr>
      </w:pPr>
      <w:r w:rsidRPr="00411CFF">
        <w:rPr>
          <w:rFonts w:ascii="Times New Roman" w:hAnsi="Times New Roman"/>
          <w:sz w:val="24"/>
          <w:szCs w:val="24"/>
          <w:lang w:val="en-US"/>
        </w:rPr>
        <w:t>HSE’s first type of STRA-Us include</w:t>
      </w:r>
      <w:r w:rsidR="00922953">
        <w:rPr>
          <w:rFonts w:ascii="Times New Roman" w:hAnsi="Times New Roman"/>
          <w:sz w:val="24"/>
          <w:szCs w:val="24"/>
          <w:lang w:val="en-US"/>
        </w:rPr>
        <w:t>s</w:t>
      </w:r>
      <w:r w:rsidRPr="00411CFF">
        <w:rPr>
          <w:rFonts w:ascii="Times New Roman" w:hAnsi="Times New Roman"/>
          <w:sz w:val="24"/>
          <w:szCs w:val="24"/>
          <w:lang w:val="en-US"/>
        </w:rPr>
        <w:t>:</w:t>
      </w:r>
    </w:p>
    <w:p w14:paraId="31F6265B" w14:textId="77777777" w:rsidR="00F40E64" w:rsidRPr="00411CFF" w:rsidRDefault="00F40E64" w:rsidP="0051131B">
      <w:pPr>
        <w:pStyle w:val="a4"/>
        <w:numPr>
          <w:ilvl w:val="0"/>
          <w:numId w:val="6"/>
        </w:numPr>
        <w:spacing w:after="0" w:line="312" w:lineRule="auto"/>
        <w:jc w:val="both"/>
        <w:rPr>
          <w:rFonts w:ascii="Times New Roman" w:hAnsi="Times New Roman"/>
          <w:sz w:val="24"/>
          <w:szCs w:val="24"/>
        </w:rPr>
      </w:pPr>
      <w:r w:rsidRPr="00411CFF">
        <w:rPr>
          <w:rFonts w:ascii="Times New Roman" w:hAnsi="Times New Roman"/>
          <w:sz w:val="24"/>
          <w:szCs w:val="24"/>
        </w:rPr>
        <w:t>Economics and Management;</w:t>
      </w:r>
    </w:p>
    <w:p w14:paraId="4B2A413B" w14:textId="77777777" w:rsidR="00F40E64" w:rsidRPr="00411CFF" w:rsidRDefault="00F40E64" w:rsidP="0051131B">
      <w:pPr>
        <w:pStyle w:val="a4"/>
        <w:numPr>
          <w:ilvl w:val="0"/>
          <w:numId w:val="6"/>
        </w:numPr>
        <w:spacing w:after="0" w:line="312" w:lineRule="auto"/>
        <w:jc w:val="both"/>
        <w:rPr>
          <w:rFonts w:ascii="Times New Roman" w:hAnsi="Times New Roman"/>
          <w:sz w:val="24"/>
          <w:szCs w:val="24"/>
          <w:lang w:val="en-US"/>
        </w:rPr>
      </w:pPr>
      <w:r w:rsidRPr="00411CFF">
        <w:rPr>
          <w:rFonts w:ascii="Times New Roman" w:hAnsi="Times New Roman"/>
          <w:sz w:val="24"/>
          <w:szCs w:val="24"/>
          <w:lang w:val="en-US"/>
        </w:rPr>
        <w:t>Challenges for Social Development;</w:t>
      </w:r>
    </w:p>
    <w:p w14:paraId="2F155BE9" w14:textId="77777777" w:rsidR="00F40E64" w:rsidRPr="00411CFF" w:rsidRDefault="00F40E64" w:rsidP="0051131B">
      <w:pPr>
        <w:pStyle w:val="a4"/>
        <w:numPr>
          <w:ilvl w:val="0"/>
          <w:numId w:val="6"/>
        </w:numPr>
        <w:spacing w:after="0" w:line="312" w:lineRule="auto"/>
        <w:jc w:val="both"/>
        <w:rPr>
          <w:rFonts w:ascii="Times New Roman" w:hAnsi="Times New Roman"/>
          <w:sz w:val="24"/>
          <w:szCs w:val="24"/>
          <w:lang w:val="en-US"/>
        </w:rPr>
      </w:pPr>
      <w:r w:rsidRPr="00411CFF">
        <w:rPr>
          <w:rFonts w:ascii="Times New Roman" w:hAnsi="Times New Roman"/>
          <w:sz w:val="24"/>
          <w:szCs w:val="24"/>
          <w:lang w:val="en-US"/>
        </w:rPr>
        <w:t>Mathematics, Computer Science</w:t>
      </w:r>
      <w:r w:rsidR="00C04BBD" w:rsidRPr="00411CFF">
        <w:rPr>
          <w:rFonts w:ascii="Times New Roman" w:hAnsi="Times New Roman"/>
          <w:sz w:val="24"/>
          <w:szCs w:val="24"/>
          <w:lang w:val="en-US"/>
        </w:rPr>
        <w:t>,</w:t>
      </w:r>
      <w:r w:rsidRPr="00411CFF">
        <w:rPr>
          <w:rFonts w:ascii="Times New Roman" w:hAnsi="Times New Roman"/>
          <w:sz w:val="24"/>
          <w:szCs w:val="24"/>
          <w:lang w:val="en-US"/>
        </w:rPr>
        <w:t xml:space="preserve"> and Information Technology: Scalable Mathematical Methods;</w:t>
      </w:r>
    </w:p>
    <w:p w14:paraId="6173CD90" w14:textId="384782C7" w:rsidR="00F40E64" w:rsidRPr="00411CFF" w:rsidRDefault="00F40E64" w:rsidP="0051131B">
      <w:pPr>
        <w:pStyle w:val="a4"/>
        <w:numPr>
          <w:ilvl w:val="0"/>
          <w:numId w:val="6"/>
        </w:numPr>
        <w:spacing w:after="0" w:line="312" w:lineRule="auto"/>
        <w:jc w:val="both"/>
        <w:rPr>
          <w:rFonts w:ascii="Times New Roman" w:hAnsi="Times New Roman"/>
          <w:sz w:val="24"/>
          <w:szCs w:val="24"/>
          <w:lang w:val="en-US"/>
        </w:rPr>
      </w:pPr>
      <w:r w:rsidRPr="00411CFF">
        <w:rPr>
          <w:rFonts w:ascii="Times New Roman" w:hAnsi="Times New Roman"/>
          <w:sz w:val="24"/>
          <w:szCs w:val="24"/>
          <w:lang w:val="en-US"/>
        </w:rPr>
        <w:t xml:space="preserve">Humanities </w:t>
      </w:r>
      <w:r w:rsidR="00922953">
        <w:rPr>
          <w:rFonts w:ascii="Times New Roman" w:hAnsi="Times New Roman"/>
          <w:sz w:val="24"/>
          <w:szCs w:val="24"/>
          <w:lang w:val="en-US"/>
        </w:rPr>
        <w:t>Con</w:t>
      </w:r>
      <w:r w:rsidR="00C82349">
        <w:rPr>
          <w:rFonts w:ascii="Times New Roman" w:hAnsi="Times New Roman"/>
          <w:sz w:val="24"/>
          <w:szCs w:val="24"/>
          <w:lang w:val="en-US"/>
        </w:rPr>
        <w:t>sortium</w:t>
      </w:r>
      <w:r w:rsidRPr="00411CFF">
        <w:rPr>
          <w:rFonts w:ascii="Times New Roman" w:hAnsi="Times New Roman"/>
          <w:sz w:val="24"/>
          <w:szCs w:val="24"/>
          <w:lang w:val="en-US"/>
        </w:rPr>
        <w:t xml:space="preserve"> ‘</w:t>
      </w:r>
      <w:proofErr w:type="spellStart"/>
      <w:r w:rsidRPr="00411CFF">
        <w:rPr>
          <w:rFonts w:ascii="Times New Roman" w:hAnsi="Times New Roman"/>
          <w:sz w:val="24"/>
          <w:szCs w:val="24"/>
          <w:lang w:val="en-US"/>
        </w:rPr>
        <w:t>Humanus</w:t>
      </w:r>
      <w:proofErr w:type="spellEnd"/>
      <w:r w:rsidRPr="00411CFF">
        <w:rPr>
          <w:rFonts w:ascii="Times New Roman" w:hAnsi="Times New Roman"/>
          <w:sz w:val="24"/>
          <w:szCs w:val="24"/>
          <w:lang w:val="en-US"/>
        </w:rPr>
        <w:t>’.</w:t>
      </w:r>
    </w:p>
    <w:p w14:paraId="0AB177E0" w14:textId="71D8221B" w:rsidR="00F40E64" w:rsidRPr="00411CFF" w:rsidRDefault="00F40E64" w:rsidP="0051131B">
      <w:pPr>
        <w:shd w:val="clear" w:color="auto" w:fill="FFFFFF"/>
        <w:spacing w:after="0" w:line="312" w:lineRule="auto"/>
        <w:ind w:firstLine="709"/>
        <w:jc w:val="both"/>
        <w:rPr>
          <w:rFonts w:ascii="Times New Roman" w:hAnsi="Times New Roman"/>
          <w:sz w:val="24"/>
          <w:szCs w:val="24"/>
          <w:lang w:val="en-US"/>
        </w:rPr>
      </w:pPr>
      <w:r w:rsidRPr="00411CFF">
        <w:rPr>
          <w:rFonts w:ascii="Times New Roman" w:hAnsi="Times New Roman"/>
          <w:sz w:val="24"/>
          <w:szCs w:val="24"/>
          <w:lang w:val="en-US"/>
        </w:rPr>
        <w:t>The second type of STRA-U</w:t>
      </w:r>
      <w:r w:rsidRPr="00411CFF" w:rsidDel="006A0E44">
        <w:rPr>
          <w:rFonts w:ascii="Times New Roman" w:hAnsi="Times New Roman"/>
          <w:sz w:val="24"/>
          <w:szCs w:val="24"/>
          <w:lang w:val="en-US"/>
        </w:rPr>
        <w:t xml:space="preserve"> </w:t>
      </w:r>
      <w:r w:rsidRPr="00411CFF">
        <w:rPr>
          <w:rFonts w:ascii="Times New Roman" w:hAnsi="Times New Roman"/>
          <w:sz w:val="24"/>
          <w:szCs w:val="24"/>
          <w:lang w:val="en-US"/>
        </w:rPr>
        <w:t xml:space="preserve">includes </w:t>
      </w:r>
      <w:r w:rsidR="00DA4A35" w:rsidRPr="00411CFF">
        <w:rPr>
          <w:rFonts w:ascii="Times New Roman" w:hAnsi="Times New Roman"/>
          <w:sz w:val="24"/>
          <w:szCs w:val="24"/>
          <w:lang w:val="en-US"/>
        </w:rPr>
        <w:t xml:space="preserve">Centres </w:t>
      </w:r>
      <w:r w:rsidRPr="00411CFF">
        <w:rPr>
          <w:rFonts w:ascii="Times New Roman" w:hAnsi="Times New Roman"/>
          <w:sz w:val="24"/>
          <w:szCs w:val="24"/>
          <w:lang w:val="en-US"/>
        </w:rPr>
        <w:t xml:space="preserve">of </w:t>
      </w:r>
      <w:r w:rsidR="00DA4A35" w:rsidRPr="00411CFF">
        <w:rPr>
          <w:rFonts w:ascii="Times New Roman" w:hAnsi="Times New Roman"/>
          <w:sz w:val="24"/>
          <w:szCs w:val="24"/>
          <w:lang w:val="en-US"/>
        </w:rPr>
        <w:t xml:space="preserve">Excellence. These are </w:t>
      </w:r>
      <w:r w:rsidRPr="00411CFF">
        <w:rPr>
          <w:rFonts w:ascii="Times New Roman" w:hAnsi="Times New Roman"/>
          <w:sz w:val="24"/>
          <w:szCs w:val="24"/>
          <w:lang w:val="en-US"/>
        </w:rPr>
        <w:t xml:space="preserve">individual structural units that have been created as new </w:t>
      </w:r>
      <w:r w:rsidR="00DA4A35" w:rsidRPr="00411CFF">
        <w:rPr>
          <w:rFonts w:ascii="Times New Roman" w:hAnsi="Times New Roman"/>
          <w:sz w:val="24"/>
          <w:szCs w:val="24"/>
          <w:lang w:val="en-US"/>
        </w:rPr>
        <w:t>points of growth</w:t>
      </w:r>
      <w:r w:rsidRPr="00411CFF">
        <w:rPr>
          <w:rFonts w:ascii="Times New Roman" w:hAnsi="Times New Roman"/>
          <w:sz w:val="24"/>
          <w:szCs w:val="24"/>
          <w:lang w:val="en-US"/>
        </w:rPr>
        <w:t xml:space="preserve"> in relatively narrow and promising interdisciplinary areas of research and education. They are </w:t>
      </w:r>
      <w:r w:rsidR="004509F9" w:rsidRPr="00411CFF">
        <w:rPr>
          <w:rFonts w:ascii="Times New Roman" w:hAnsi="Times New Roman"/>
          <w:sz w:val="24"/>
          <w:szCs w:val="24"/>
          <w:lang w:val="en-US"/>
        </w:rPr>
        <w:t xml:space="preserve">fully </w:t>
      </w:r>
      <w:r w:rsidRPr="00411CFF">
        <w:rPr>
          <w:rFonts w:ascii="Times New Roman" w:hAnsi="Times New Roman"/>
          <w:sz w:val="24"/>
          <w:szCs w:val="24"/>
          <w:lang w:val="en-US"/>
        </w:rPr>
        <w:t xml:space="preserve">integrated </w:t>
      </w:r>
      <w:r w:rsidR="004509F9" w:rsidRPr="00411CFF">
        <w:rPr>
          <w:rFonts w:ascii="Times New Roman" w:hAnsi="Times New Roman"/>
          <w:sz w:val="24"/>
          <w:szCs w:val="24"/>
          <w:lang w:val="en-US"/>
        </w:rPr>
        <w:t>with global research trends</w:t>
      </w:r>
      <w:r w:rsidR="00E71505">
        <w:rPr>
          <w:rFonts w:ascii="Times New Roman" w:hAnsi="Times New Roman"/>
          <w:sz w:val="24"/>
          <w:szCs w:val="24"/>
          <w:lang w:val="en-US"/>
        </w:rPr>
        <w:t xml:space="preserve"> and</w:t>
      </w:r>
      <w:r w:rsidR="004509F9" w:rsidRPr="00411CFF">
        <w:rPr>
          <w:rFonts w:ascii="Times New Roman" w:hAnsi="Times New Roman"/>
          <w:sz w:val="24"/>
          <w:szCs w:val="24"/>
          <w:lang w:val="en-US"/>
        </w:rPr>
        <w:t xml:space="preserve"> offer high quality</w:t>
      </w:r>
      <w:r w:rsidRPr="00411CFF">
        <w:rPr>
          <w:rFonts w:ascii="Times New Roman" w:hAnsi="Times New Roman"/>
          <w:sz w:val="24"/>
          <w:szCs w:val="24"/>
          <w:lang w:val="en-US"/>
        </w:rPr>
        <w:t xml:space="preserve"> Master’s and doctoral programmes. In the long run, these units are capable of </w:t>
      </w:r>
      <w:r w:rsidR="00DB26CD" w:rsidRPr="00411CFF">
        <w:rPr>
          <w:rFonts w:ascii="Times New Roman" w:hAnsi="Times New Roman"/>
          <w:sz w:val="24"/>
          <w:szCs w:val="24"/>
          <w:lang w:val="en-US"/>
        </w:rPr>
        <w:t xml:space="preserve">developing </w:t>
      </w:r>
      <w:r w:rsidR="00D21519" w:rsidRPr="00411CFF">
        <w:rPr>
          <w:rFonts w:ascii="Times New Roman" w:hAnsi="Times New Roman"/>
          <w:sz w:val="24"/>
          <w:szCs w:val="24"/>
          <w:lang w:val="en-US"/>
        </w:rPr>
        <w:t xml:space="preserve">further </w:t>
      </w:r>
      <w:r w:rsidR="00DB26CD" w:rsidRPr="00411CFF">
        <w:rPr>
          <w:rFonts w:ascii="Times New Roman" w:hAnsi="Times New Roman"/>
          <w:sz w:val="24"/>
          <w:szCs w:val="24"/>
          <w:lang w:val="en-US"/>
        </w:rPr>
        <w:t xml:space="preserve">in </w:t>
      </w:r>
      <w:r w:rsidRPr="00411CFF">
        <w:rPr>
          <w:rFonts w:ascii="Times New Roman" w:hAnsi="Times New Roman"/>
          <w:sz w:val="24"/>
          <w:szCs w:val="24"/>
          <w:lang w:val="en-US"/>
        </w:rPr>
        <w:t xml:space="preserve">new </w:t>
      </w:r>
      <w:r w:rsidR="00DB26CD" w:rsidRPr="00411CFF">
        <w:rPr>
          <w:rFonts w:ascii="Times New Roman" w:hAnsi="Times New Roman"/>
          <w:sz w:val="24"/>
          <w:szCs w:val="24"/>
          <w:lang w:val="en-US"/>
        </w:rPr>
        <w:t xml:space="preserve">areas of </w:t>
      </w:r>
      <w:r w:rsidRPr="00411CFF">
        <w:rPr>
          <w:rFonts w:ascii="Times New Roman" w:hAnsi="Times New Roman"/>
          <w:sz w:val="24"/>
          <w:szCs w:val="24"/>
          <w:lang w:val="en-US"/>
        </w:rPr>
        <w:t>research and education</w:t>
      </w:r>
      <w:r w:rsidR="00E71505">
        <w:rPr>
          <w:rFonts w:ascii="Times New Roman" w:hAnsi="Times New Roman"/>
          <w:sz w:val="24"/>
          <w:szCs w:val="24"/>
          <w:lang w:val="en-US"/>
        </w:rPr>
        <w:t>.</w:t>
      </w:r>
    </w:p>
    <w:p w14:paraId="0BD864C9" w14:textId="1AFD1D69" w:rsidR="002E4818" w:rsidRPr="00C82349" w:rsidRDefault="002E4818" w:rsidP="0051131B">
      <w:pPr>
        <w:shd w:val="clear" w:color="auto" w:fill="FFFFFF"/>
        <w:spacing w:after="0" w:line="312" w:lineRule="auto"/>
        <w:ind w:firstLine="709"/>
        <w:jc w:val="both"/>
        <w:rPr>
          <w:rFonts w:ascii="Times New Roman" w:hAnsi="Times New Roman"/>
          <w:sz w:val="24"/>
          <w:szCs w:val="24"/>
          <w:lang w:val="en-US"/>
        </w:rPr>
      </w:pPr>
      <w:r w:rsidRPr="00411CFF">
        <w:rPr>
          <w:rFonts w:ascii="Times New Roman" w:hAnsi="Times New Roman"/>
          <w:sz w:val="24"/>
          <w:szCs w:val="24"/>
          <w:lang w:val="en-US"/>
        </w:rPr>
        <w:lastRenderedPageBreak/>
        <w:t>The second type of STRA-Us at HSE include</w:t>
      </w:r>
      <w:r w:rsidR="00C82349">
        <w:rPr>
          <w:rFonts w:ascii="Times New Roman" w:hAnsi="Times New Roman"/>
          <w:sz w:val="24"/>
          <w:szCs w:val="24"/>
          <w:lang w:val="en-US"/>
        </w:rPr>
        <w:t>s</w:t>
      </w:r>
      <w:r w:rsidR="00C82349" w:rsidRPr="00C82349">
        <w:rPr>
          <w:rFonts w:ascii="Times New Roman" w:hAnsi="Times New Roman"/>
          <w:sz w:val="24"/>
          <w:szCs w:val="24"/>
          <w:lang w:val="en-US"/>
        </w:rPr>
        <w:t>:</w:t>
      </w:r>
    </w:p>
    <w:p w14:paraId="7FFC2326" w14:textId="77777777" w:rsidR="00F40E64" w:rsidRPr="00411CFF" w:rsidRDefault="00F40E64" w:rsidP="0051131B">
      <w:pPr>
        <w:pStyle w:val="a4"/>
        <w:numPr>
          <w:ilvl w:val="0"/>
          <w:numId w:val="7"/>
        </w:numPr>
        <w:spacing w:after="0" w:line="312" w:lineRule="auto"/>
        <w:jc w:val="both"/>
        <w:rPr>
          <w:rFonts w:ascii="Times New Roman" w:hAnsi="Times New Roman"/>
          <w:sz w:val="24"/>
          <w:szCs w:val="24"/>
          <w:lang w:val="en-US"/>
        </w:rPr>
      </w:pPr>
      <w:r w:rsidRPr="00411CFF">
        <w:rPr>
          <w:rFonts w:ascii="Times New Roman" w:hAnsi="Times New Roman"/>
          <w:sz w:val="24"/>
          <w:szCs w:val="24"/>
          <w:lang w:val="en-US"/>
        </w:rPr>
        <w:t>Foresight and Science, Technology and Innovation Studies;</w:t>
      </w:r>
    </w:p>
    <w:p w14:paraId="06DD6DA8" w14:textId="77777777" w:rsidR="00F40E64" w:rsidRPr="00411CFF" w:rsidRDefault="00F40E64" w:rsidP="0051131B">
      <w:pPr>
        <w:pStyle w:val="a4"/>
        <w:numPr>
          <w:ilvl w:val="0"/>
          <w:numId w:val="7"/>
        </w:numPr>
        <w:spacing w:after="0" w:line="312" w:lineRule="auto"/>
        <w:jc w:val="both"/>
        <w:rPr>
          <w:rFonts w:ascii="Times New Roman" w:hAnsi="Times New Roman"/>
          <w:sz w:val="24"/>
          <w:szCs w:val="24"/>
          <w:lang w:val="en-US"/>
        </w:rPr>
      </w:pPr>
      <w:r w:rsidRPr="00411CFF">
        <w:rPr>
          <w:rFonts w:ascii="Times New Roman" w:hAnsi="Times New Roman"/>
          <w:sz w:val="24"/>
          <w:szCs w:val="24"/>
          <w:lang w:val="en-US"/>
        </w:rPr>
        <w:t xml:space="preserve">Cognitive Neuroscience: from Computational Models to </w:t>
      </w:r>
      <w:proofErr w:type="spellStart"/>
      <w:r w:rsidRPr="00411CFF">
        <w:rPr>
          <w:rFonts w:ascii="Times New Roman" w:hAnsi="Times New Roman"/>
          <w:sz w:val="24"/>
          <w:szCs w:val="24"/>
          <w:lang w:val="en-US"/>
        </w:rPr>
        <w:t>Neurotechnology</w:t>
      </w:r>
      <w:proofErr w:type="spellEnd"/>
      <w:r w:rsidRPr="00411CFF">
        <w:rPr>
          <w:rFonts w:ascii="Times New Roman" w:hAnsi="Times New Roman"/>
          <w:sz w:val="24"/>
          <w:szCs w:val="24"/>
          <w:lang w:val="en-US"/>
        </w:rPr>
        <w:t>;</w:t>
      </w:r>
    </w:p>
    <w:p w14:paraId="77C47B74" w14:textId="77777777" w:rsidR="00F40E64" w:rsidRPr="00411CFF" w:rsidRDefault="00F40E64" w:rsidP="0051131B">
      <w:pPr>
        <w:pStyle w:val="a4"/>
        <w:numPr>
          <w:ilvl w:val="0"/>
          <w:numId w:val="7"/>
        </w:numPr>
        <w:spacing w:after="0" w:line="312" w:lineRule="auto"/>
        <w:jc w:val="both"/>
        <w:rPr>
          <w:rFonts w:ascii="Times New Roman" w:hAnsi="Times New Roman"/>
          <w:sz w:val="24"/>
          <w:szCs w:val="24"/>
          <w:lang w:val="en-US"/>
        </w:rPr>
      </w:pPr>
      <w:r w:rsidRPr="00411CFF">
        <w:rPr>
          <w:rFonts w:ascii="Times New Roman" w:hAnsi="Times New Roman"/>
          <w:sz w:val="24"/>
          <w:szCs w:val="24"/>
          <w:lang w:val="en-US"/>
        </w:rPr>
        <w:t xml:space="preserve">Education and Human Development in </w:t>
      </w:r>
      <w:r w:rsidR="00C04BBD" w:rsidRPr="00411CFF">
        <w:rPr>
          <w:rFonts w:ascii="Times New Roman" w:hAnsi="Times New Roman"/>
          <w:sz w:val="24"/>
          <w:szCs w:val="24"/>
          <w:lang w:val="en-US"/>
        </w:rPr>
        <w:t xml:space="preserve">the </w:t>
      </w:r>
      <w:r w:rsidRPr="00411CFF">
        <w:rPr>
          <w:rFonts w:ascii="Times New Roman" w:hAnsi="Times New Roman"/>
          <w:sz w:val="24"/>
          <w:szCs w:val="24"/>
          <w:lang w:val="en-US"/>
        </w:rPr>
        <w:t>Changing World;</w:t>
      </w:r>
    </w:p>
    <w:p w14:paraId="47C0FE89" w14:textId="77777777" w:rsidR="00F40E64" w:rsidRPr="00411CFF" w:rsidRDefault="00F40E64" w:rsidP="0051131B">
      <w:pPr>
        <w:pStyle w:val="a4"/>
        <w:numPr>
          <w:ilvl w:val="0"/>
          <w:numId w:val="7"/>
        </w:numPr>
        <w:spacing w:after="0" w:line="312" w:lineRule="auto"/>
        <w:jc w:val="both"/>
        <w:rPr>
          <w:rFonts w:ascii="Times New Roman" w:hAnsi="Times New Roman"/>
          <w:sz w:val="24"/>
          <w:szCs w:val="24"/>
          <w:lang w:val="en-US"/>
        </w:rPr>
      </w:pPr>
      <w:r w:rsidRPr="00411CFF">
        <w:rPr>
          <w:rFonts w:ascii="Times New Roman" w:hAnsi="Times New Roman"/>
          <w:sz w:val="24"/>
          <w:szCs w:val="24"/>
          <w:lang w:val="en-US"/>
        </w:rPr>
        <w:t>Urban and Transportation Policy: G</w:t>
      </w:r>
      <w:bookmarkStart w:id="0" w:name="_GoBack"/>
      <w:bookmarkEnd w:id="0"/>
      <w:r w:rsidRPr="00411CFF">
        <w:rPr>
          <w:rFonts w:ascii="Times New Roman" w:hAnsi="Times New Roman"/>
          <w:sz w:val="24"/>
          <w:szCs w:val="24"/>
          <w:lang w:val="en-US"/>
        </w:rPr>
        <w:t xml:space="preserve">uiding Urban Transformation </w:t>
      </w:r>
      <w:r w:rsidR="00C04BBD" w:rsidRPr="00411CFF">
        <w:rPr>
          <w:rFonts w:ascii="Times New Roman" w:hAnsi="Times New Roman"/>
          <w:sz w:val="24"/>
          <w:szCs w:val="24"/>
          <w:lang w:val="en-US"/>
        </w:rPr>
        <w:t xml:space="preserve">from the </w:t>
      </w:r>
      <w:r w:rsidRPr="00411CFF">
        <w:rPr>
          <w:rFonts w:ascii="Times New Roman" w:hAnsi="Times New Roman"/>
          <w:sz w:val="24"/>
          <w:szCs w:val="24"/>
          <w:lang w:val="en-US"/>
        </w:rPr>
        <w:t xml:space="preserve">Industrial </w:t>
      </w:r>
      <w:r w:rsidR="00DE2A00" w:rsidRPr="00411CFF">
        <w:rPr>
          <w:rFonts w:ascii="Times New Roman" w:hAnsi="Times New Roman"/>
          <w:sz w:val="24"/>
          <w:szCs w:val="24"/>
          <w:lang w:val="en-US"/>
        </w:rPr>
        <w:t xml:space="preserve">to </w:t>
      </w:r>
      <w:r w:rsidRPr="00411CFF">
        <w:rPr>
          <w:rFonts w:ascii="Times New Roman" w:hAnsi="Times New Roman"/>
          <w:sz w:val="24"/>
          <w:szCs w:val="24"/>
          <w:lang w:val="en-US"/>
        </w:rPr>
        <w:t>Digital Age.</w:t>
      </w:r>
    </w:p>
    <w:p w14:paraId="3FD75069" w14:textId="77777777" w:rsidR="00F40E64" w:rsidRPr="00411CFF" w:rsidRDefault="00F40E64" w:rsidP="0051131B">
      <w:pPr>
        <w:spacing w:after="0" w:line="312" w:lineRule="auto"/>
        <w:ind w:firstLine="709"/>
        <w:jc w:val="both"/>
        <w:rPr>
          <w:rFonts w:ascii="Times New Roman" w:hAnsi="Times New Roman"/>
          <w:b/>
          <w:sz w:val="24"/>
          <w:szCs w:val="24"/>
          <w:lang w:val="en-US"/>
        </w:rPr>
      </w:pPr>
      <w:r w:rsidRPr="00411CFF">
        <w:rPr>
          <w:rFonts w:ascii="Times New Roman" w:hAnsi="Times New Roman"/>
          <w:b/>
          <w:sz w:val="24"/>
          <w:szCs w:val="24"/>
        </w:rPr>
        <w:t>Strategic</w:t>
      </w:r>
      <w:r w:rsidRPr="00411CFF">
        <w:rPr>
          <w:rFonts w:ascii="Times New Roman" w:hAnsi="Times New Roman"/>
          <w:b/>
          <w:sz w:val="24"/>
          <w:szCs w:val="24"/>
          <w:lang w:val="en-US"/>
        </w:rPr>
        <w:t xml:space="preserve"> </w:t>
      </w:r>
      <w:r w:rsidR="00691836" w:rsidRPr="00411CFF">
        <w:rPr>
          <w:rFonts w:ascii="Times New Roman" w:hAnsi="Times New Roman"/>
          <w:b/>
          <w:sz w:val="24"/>
          <w:szCs w:val="24"/>
        </w:rPr>
        <w:t>Initiative</w:t>
      </w:r>
      <w:r w:rsidR="00691836" w:rsidRPr="00411CFF">
        <w:rPr>
          <w:rFonts w:ascii="Times New Roman" w:hAnsi="Times New Roman"/>
          <w:b/>
          <w:sz w:val="24"/>
          <w:szCs w:val="24"/>
          <w:lang w:val="en-US"/>
        </w:rPr>
        <w:t xml:space="preserve"> </w:t>
      </w:r>
      <w:r w:rsidR="00703922" w:rsidRPr="00411CFF">
        <w:rPr>
          <w:rFonts w:ascii="Times New Roman" w:hAnsi="Times New Roman"/>
          <w:b/>
          <w:sz w:val="24"/>
          <w:szCs w:val="24"/>
          <w:lang w:val="en-US"/>
        </w:rPr>
        <w:t xml:space="preserve">No. </w:t>
      </w:r>
      <w:r w:rsidRPr="00411CFF">
        <w:rPr>
          <w:rFonts w:ascii="Times New Roman" w:hAnsi="Times New Roman"/>
          <w:b/>
          <w:sz w:val="24"/>
          <w:szCs w:val="24"/>
          <w:lang w:val="en-US"/>
        </w:rPr>
        <w:t xml:space="preserve">6: </w:t>
      </w:r>
      <w:r w:rsidR="00703922" w:rsidRPr="00411CFF">
        <w:rPr>
          <w:rFonts w:ascii="Times New Roman" w:hAnsi="Times New Roman"/>
          <w:b/>
          <w:sz w:val="24"/>
          <w:szCs w:val="24"/>
        </w:rPr>
        <w:t>HSE’s</w:t>
      </w:r>
      <w:r w:rsidR="00703922" w:rsidRPr="00411CFF">
        <w:rPr>
          <w:rFonts w:ascii="Times New Roman" w:hAnsi="Times New Roman"/>
          <w:b/>
          <w:sz w:val="24"/>
          <w:szCs w:val="24"/>
          <w:lang w:val="en-US"/>
        </w:rPr>
        <w:t xml:space="preserve"> </w:t>
      </w:r>
      <w:r w:rsidRPr="00411CFF">
        <w:rPr>
          <w:rFonts w:ascii="Times New Roman" w:hAnsi="Times New Roman"/>
          <w:b/>
          <w:sz w:val="24"/>
          <w:szCs w:val="24"/>
        </w:rPr>
        <w:t>Social</w:t>
      </w:r>
      <w:r w:rsidRPr="00411CFF">
        <w:rPr>
          <w:rFonts w:ascii="Times New Roman" w:hAnsi="Times New Roman"/>
          <w:b/>
          <w:sz w:val="24"/>
          <w:szCs w:val="24"/>
          <w:lang w:val="en-US"/>
        </w:rPr>
        <w:t xml:space="preserve"> </w:t>
      </w:r>
      <w:r w:rsidRPr="00411CFF">
        <w:rPr>
          <w:rFonts w:ascii="Times New Roman" w:hAnsi="Times New Roman"/>
          <w:b/>
          <w:sz w:val="24"/>
          <w:szCs w:val="24"/>
        </w:rPr>
        <w:t>Mission</w:t>
      </w:r>
    </w:p>
    <w:p w14:paraId="7A3AB5EC" w14:textId="0EAEDDE4" w:rsidR="00F40E64" w:rsidRPr="00411CFF" w:rsidRDefault="00AB59F4" w:rsidP="0051131B">
      <w:pPr>
        <w:spacing w:after="0" w:line="312" w:lineRule="auto"/>
        <w:ind w:firstLine="709"/>
        <w:jc w:val="both"/>
        <w:rPr>
          <w:rFonts w:ascii="Times New Roman" w:hAnsi="Times New Roman"/>
          <w:sz w:val="24"/>
          <w:szCs w:val="24"/>
          <w:lang w:val="en-US" w:eastAsia="ru-RU"/>
        </w:rPr>
      </w:pPr>
      <w:r w:rsidRPr="00411CFF">
        <w:rPr>
          <w:rFonts w:ascii="Times New Roman" w:hAnsi="Times New Roman"/>
          <w:sz w:val="24"/>
          <w:szCs w:val="24"/>
          <w:lang w:val="en-US" w:eastAsia="ru-RU"/>
        </w:rPr>
        <w:t>“</w:t>
      </w:r>
      <w:r w:rsidR="007A6D8B" w:rsidRPr="00411CFF">
        <w:rPr>
          <w:rFonts w:ascii="Times New Roman" w:hAnsi="Times New Roman"/>
          <w:sz w:val="24"/>
          <w:szCs w:val="24"/>
          <w:lang w:val="en-US" w:eastAsia="ru-RU"/>
        </w:rPr>
        <w:t xml:space="preserve">A </w:t>
      </w:r>
      <w:r w:rsidR="00F40E64" w:rsidRPr="00411CFF">
        <w:rPr>
          <w:rFonts w:ascii="Times New Roman" w:hAnsi="Times New Roman"/>
          <w:sz w:val="24"/>
          <w:szCs w:val="24"/>
          <w:lang w:val="en-US" w:eastAsia="ru-RU"/>
        </w:rPr>
        <w:t xml:space="preserve">University Open to the </w:t>
      </w:r>
      <w:r w:rsidRPr="00411CFF">
        <w:rPr>
          <w:rFonts w:ascii="Times New Roman" w:hAnsi="Times New Roman"/>
          <w:sz w:val="24"/>
          <w:szCs w:val="24"/>
          <w:lang w:val="en-US" w:eastAsia="ru-RU"/>
        </w:rPr>
        <w:t xml:space="preserve">City” </w:t>
      </w:r>
      <w:r w:rsidR="00F40E64" w:rsidRPr="00411CFF">
        <w:rPr>
          <w:rFonts w:ascii="Times New Roman" w:hAnsi="Times New Roman"/>
          <w:sz w:val="24"/>
          <w:szCs w:val="24"/>
          <w:lang w:val="en-US" w:eastAsia="ru-RU"/>
        </w:rPr>
        <w:t xml:space="preserve">project </w:t>
      </w:r>
      <w:r w:rsidRPr="00411CFF">
        <w:rPr>
          <w:rFonts w:ascii="Times New Roman" w:hAnsi="Times New Roman"/>
          <w:sz w:val="24"/>
          <w:szCs w:val="24"/>
          <w:lang w:val="en-US" w:eastAsia="ru-RU"/>
        </w:rPr>
        <w:t>was developed to foster</w:t>
      </w:r>
      <w:r w:rsidR="00F40E64" w:rsidRPr="00411CFF">
        <w:rPr>
          <w:rFonts w:ascii="Times New Roman" w:hAnsi="Times New Roman"/>
          <w:sz w:val="24"/>
          <w:szCs w:val="24"/>
          <w:lang w:val="en-US" w:eastAsia="ru-RU"/>
        </w:rPr>
        <w:t xml:space="preserve"> cooperation with </w:t>
      </w:r>
      <w:r w:rsidR="00DF1715" w:rsidRPr="006C06DC">
        <w:rPr>
          <w:rFonts w:ascii="Times New Roman" w:hAnsi="Times New Roman"/>
          <w:sz w:val="24"/>
          <w:szCs w:val="24"/>
          <w:lang w:val="en-US" w:eastAsia="ru-RU"/>
        </w:rPr>
        <w:t xml:space="preserve">Moscow </w:t>
      </w:r>
      <w:r w:rsidR="00DF1715" w:rsidRPr="006256D0">
        <w:rPr>
          <w:rFonts w:ascii="Times New Roman" w:hAnsi="Times New Roman"/>
          <w:sz w:val="24"/>
          <w:szCs w:val="24"/>
          <w:lang w:val="en-US" w:eastAsia="ru-RU"/>
        </w:rPr>
        <w:t>residents and various</w:t>
      </w:r>
      <w:r w:rsidR="00A66FE9" w:rsidRPr="006256D0">
        <w:rPr>
          <w:rFonts w:ascii="Times New Roman" w:hAnsi="Times New Roman"/>
          <w:sz w:val="24"/>
          <w:szCs w:val="24"/>
          <w:lang w:val="en-US" w:eastAsia="ru-RU"/>
        </w:rPr>
        <w:t xml:space="preserve"> urban</w:t>
      </w:r>
      <w:r w:rsidR="00DF1715" w:rsidRPr="00D301E4">
        <w:rPr>
          <w:rFonts w:ascii="Times New Roman" w:hAnsi="Times New Roman"/>
          <w:sz w:val="24"/>
          <w:szCs w:val="24"/>
          <w:lang w:val="en-US" w:eastAsia="ru-RU"/>
        </w:rPr>
        <w:t xml:space="preserve"> organizations</w:t>
      </w:r>
      <w:r w:rsidR="001E0B94">
        <w:rPr>
          <w:rFonts w:ascii="Times New Roman" w:hAnsi="Times New Roman"/>
          <w:sz w:val="24"/>
          <w:szCs w:val="24"/>
          <w:lang w:val="en-US" w:eastAsia="ru-RU"/>
        </w:rPr>
        <w:t>; it</w:t>
      </w:r>
      <w:r w:rsidR="00F40E64" w:rsidRPr="00E61AC2">
        <w:rPr>
          <w:rFonts w:ascii="Times New Roman" w:hAnsi="Times New Roman"/>
          <w:sz w:val="24"/>
          <w:szCs w:val="24"/>
          <w:lang w:val="en-US" w:eastAsia="ru-RU"/>
        </w:rPr>
        <w:t xml:space="preserve"> is fully functional, offering open lectures, cultural and charity events, </w:t>
      </w:r>
      <w:r w:rsidRPr="00411CFF">
        <w:rPr>
          <w:rFonts w:ascii="Times New Roman" w:hAnsi="Times New Roman"/>
          <w:sz w:val="24"/>
          <w:szCs w:val="24"/>
          <w:lang w:val="en-US" w:eastAsia="ru-RU"/>
        </w:rPr>
        <w:t xml:space="preserve">projects for </w:t>
      </w:r>
      <w:r w:rsidR="00F40E64" w:rsidRPr="00411CFF">
        <w:rPr>
          <w:rFonts w:ascii="Times New Roman" w:hAnsi="Times New Roman"/>
          <w:sz w:val="24"/>
          <w:szCs w:val="24"/>
          <w:lang w:val="en-US" w:eastAsia="ru-RU"/>
        </w:rPr>
        <w:t xml:space="preserve">urban improvement, etc. In 2016, </w:t>
      </w:r>
      <w:r w:rsidR="001E0B94">
        <w:rPr>
          <w:rFonts w:ascii="Times New Roman" w:hAnsi="Times New Roman"/>
          <w:sz w:val="24"/>
          <w:szCs w:val="24"/>
          <w:lang w:val="en-US" w:eastAsia="ru-RU"/>
        </w:rPr>
        <w:t xml:space="preserve">HSE hosted </w:t>
      </w:r>
      <w:r w:rsidR="001E0B94" w:rsidRPr="00411CFF">
        <w:rPr>
          <w:rFonts w:ascii="Times New Roman" w:hAnsi="Times New Roman"/>
          <w:sz w:val="24"/>
          <w:szCs w:val="24"/>
          <w:lang w:val="en-US" w:eastAsia="ru-RU"/>
        </w:rPr>
        <w:t>public events for Moscow residents</w:t>
      </w:r>
      <w:r w:rsidR="001E0B94">
        <w:rPr>
          <w:rFonts w:ascii="Times New Roman" w:hAnsi="Times New Roman"/>
          <w:sz w:val="24"/>
          <w:szCs w:val="24"/>
          <w:lang w:val="en-US" w:eastAsia="ru-RU"/>
        </w:rPr>
        <w:t xml:space="preserve"> with over</w:t>
      </w:r>
      <w:r w:rsidR="001E0B94" w:rsidRPr="00411CFF">
        <w:rPr>
          <w:rFonts w:ascii="Times New Roman" w:hAnsi="Times New Roman"/>
          <w:sz w:val="24"/>
          <w:szCs w:val="24"/>
          <w:lang w:val="en-US" w:eastAsia="ru-RU"/>
        </w:rPr>
        <w:t xml:space="preserve"> </w:t>
      </w:r>
      <w:r w:rsidR="00F40E64" w:rsidRPr="00411CFF">
        <w:rPr>
          <w:rFonts w:ascii="Times New Roman" w:hAnsi="Times New Roman"/>
          <w:sz w:val="24"/>
          <w:szCs w:val="24"/>
          <w:lang w:val="en-US" w:eastAsia="ru-RU"/>
        </w:rPr>
        <w:t>33,000 visitors</w:t>
      </w:r>
      <w:r w:rsidR="001E0B94">
        <w:rPr>
          <w:rFonts w:ascii="Times New Roman" w:hAnsi="Times New Roman"/>
          <w:sz w:val="24"/>
          <w:szCs w:val="24"/>
          <w:lang w:val="en-US" w:eastAsia="ru-RU"/>
        </w:rPr>
        <w:t>;</w:t>
      </w:r>
      <w:r w:rsidR="00F40E64" w:rsidRPr="00411CFF">
        <w:rPr>
          <w:rFonts w:ascii="Times New Roman" w:hAnsi="Times New Roman"/>
          <w:sz w:val="24"/>
          <w:szCs w:val="24"/>
          <w:lang w:val="en-US" w:eastAsia="ru-RU"/>
        </w:rPr>
        <w:t xml:space="preserve"> </w:t>
      </w:r>
      <w:r w:rsidR="001E0B94">
        <w:rPr>
          <w:rFonts w:ascii="Times New Roman" w:hAnsi="Times New Roman"/>
          <w:sz w:val="24"/>
          <w:szCs w:val="24"/>
          <w:lang w:val="en-US" w:eastAsia="ru-RU"/>
        </w:rPr>
        <w:t xml:space="preserve">held </w:t>
      </w:r>
      <w:r w:rsidR="00F40E64" w:rsidRPr="00411CFF">
        <w:rPr>
          <w:rFonts w:ascii="Times New Roman" w:hAnsi="Times New Roman"/>
          <w:sz w:val="24"/>
          <w:szCs w:val="24"/>
          <w:lang w:val="en-US" w:eastAsia="ru-RU"/>
        </w:rPr>
        <w:t xml:space="preserve">256 free consultations on social matters </w:t>
      </w:r>
      <w:r w:rsidR="00C55F85">
        <w:rPr>
          <w:rFonts w:ascii="Times New Roman" w:hAnsi="Times New Roman"/>
          <w:sz w:val="24"/>
          <w:szCs w:val="24"/>
          <w:lang w:val="en-US" w:eastAsia="ru-RU"/>
        </w:rPr>
        <w:t>and 27 events</w:t>
      </w:r>
      <w:r w:rsidR="001E0B94">
        <w:rPr>
          <w:rFonts w:ascii="Times New Roman" w:hAnsi="Times New Roman"/>
          <w:sz w:val="24"/>
          <w:szCs w:val="24"/>
          <w:lang w:val="en-US" w:eastAsia="ru-RU"/>
        </w:rPr>
        <w:t xml:space="preserve"> dedicated to urban improvement</w:t>
      </w:r>
      <w:r w:rsidRPr="006256D0">
        <w:rPr>
          <w:rFonts w:ascii="Times New Roman" w:hAnsi="Times New Roman"/>
          <w:sz w:val="24"/>
          <w:szCs w:val="24"/>
          <w:lang w:val="en-US" w:eastAsia="ru-RU"/>
        </w:rPr>
        <w:t xml:space="preserve">. </w:t>
      </w:r>
      <w:r w:rsidR="00C55F85">
        <w:rPr>
          <w:rFonts w:ascii="Times New Roman" w:hAnsi="Times New Roman"/>
          <w:sz w:val="24"/>
          <w:szCs w:val="24"/>
          <w:lang w:val="en-US" w:eastAsia="ru-RU"/>
        </w:rPr>
        <w:t>Seventy-seven</w:t>
      </w:r>
      <w:r w:rsidR="00F40E64" w:rsidRPr="006256D0">
        <w:rPr>
          <w:rFonts w:ascii="Times New Roman" w:hAnsi="Times New Roman"/>
          <w:sz w:val="24"/>
          <w:szCs w:val="24"/>
          <w:lang w:val="en-US" w:eastAsia="ru-RU"/>
        </w:rPr>
        <w:t xml:space="preserve"> information stands dedicated to the history of Moscow </w:t>
      </w:r>
      <w:r w:rsidR="00BB4BAD" w:rsidRPr="00D301E4">
        <w:rPr>
          <w:rFonts w:ascii="Times New Roman" w:hAnsi="Times New Roman"/>
          <w:sz w:val="24"/>
          <w:szCs w:val="24"/>
          <w:lang w:val="en-US" w:eastAsia="ru-RU"/>
        </w:rPr>
        <w:t xml:space="preserve">were </w:t>
      </w:r>
      <w:r w:rsidR="001E0B94">
        <w:rPr>
          <w:rFonts w:ascii="Times New Roman" w:hAnsi="Times New Roman"/>
          <w:sz w:val="24"/>
          <w:szCs w:val="24"/>
          <w:lang w:val="en-US" w:eastAsia="ru-RU"/>
        </w:rPr>
        <w:t>built</w:t>
      </w:r>
      <w:r w:rsidR="00E74133" w:rsidRPr="00E61AC2">
        <w:rPr>
          <w:rFonts w:ascii="Times New Roman" w:hAnsi="Times New Roman"/>
          <w:sz w:val="24"/>
          <w:szCs w:val="24"/>
          <w:lang w:val="en-US" w:eastAsia="ru-RU"/>
        </w:rPr>
        <w:t xml:space="preserve"> and </w:t>
      </w:r>
      <w:r w:rsidR="00714353" w:rsidRPr="00E61AC2">
        <w:rPr>
          <w:rFonts w:ascii="Times New Roman" w:hAnsi="Times New Roman"/>
          <w:sz w:val="24"/>
          <w:szCs w:val="24"/>
          <w:lang w:val="en-US" w:eastAsia="ru-RU"/>
        </w:rPr>
        <w:t xml:space="preserve">set up </w:t>
      </w:r>
      <w:r w:rsidR="00C55F85">
        <w:rPr>
          <w:rFonts w:ascii="Times New Roman" w:hAnsi="Times New Roman"/>
          <w:sz w:val="24"/>
          <w:szCs w:val="24"/>
          <w:lang w:val="en-US" w:eastAsia="ru-RU"/>
        </w:rPr>
        <w:t>throughout</w:t>
      </w:r>
      <w:r w:rsidR="00714353" w:rsidRPr="00E61AC2">
        <w:rPr>
          <w:rFonts w:ascii="Times New Roman" w:hAnsi="Times New Roman"/>
          <w:sz w:val="24"/>
          <w:szCs w:val="24"/>
          <w:lang w:val="en-US" w:eastAsia="ru-RU"/>
        </w:rPr>
        <w:t xml:space="preserve"> the city. </w:t>
      </w:r>
    </w:p>
    <w:p w14:paraId="396209F5" w14:textId="019398F4" w:rsidR="00F40E64" w:rsidRPr="00411CFF" w:rsidRDefault="00F40E64" w:rsidP="0051131B">
      <w:pPr>
        <w:spacing w:after="0" w:line="312" w:lineRule="auto"/>
        <w:ind w:firstLine="709"/>
        <w:jc w:val="both"/>
        <w:rPr>
          <w:rFonts w:ascii="Times New Roman" w:hAnsi="Times New Roman"/>
          <w:sz w:val="24"/>
          <w:szCs w:val="24"/>
          <w:lang w:val="en-US" w:eastAsia="ru-RU"/>
        </w:rPr>
      </w:pPr>
      <w:r w:rsidRPr="00411CFF">
        <w:rPr>
          <w:rFonts w:ascii="Times New Roman" w:hAnsi="Times New Roman"/>
          <w:sz w:val="24"/>
          <w:szCs w:val="24"/>
          <w:lang w:val="en-US" w:eastAsia="ru-RU"/>
        </w:rPr>
        <w:t>HSE</w:t>
      </w:r>
      <w:r w:rsidR="00AB5538" w:rsidRPr="00411CFF">
        <w:rPr>
          <w:rFonts w:ascii="Times New Roman" w:hAnsi="Times New Roman"/>
          <w:sz w:val="24"/>
          <w:szCs w:val="24"/>
          <w:lang w:val="en-US" w:eastAsia="ru-RU"/>
        </w:rPr>
        <w:t xml:space="preserve"> </w:t>
      </w:r>
      <w:r w:rsidRPr="00411CFF">
        <w:rPr>
          <w:rFonts w:ascii="Times New Roman" w:hAnsi="Times New Roman"/>
          <w:sz w:val="24"/>
          <w:szCs w:val="24"/>
          <w:lang w:val="en-US" w:eastAsia="ru-RU"/>
        </w:rPr>
        <w:t>initiate</w:t>
      </w:r>
      <w:r w:rsidR="00DB48AF">
        <w:rPr>
          <w:rFonts w:ascii="Times New Roman" w:hAnsi="Times New Roman"/>
          <w:sz w:val="24"/>
          <w:szCs w:val="24"/>
          <w:lang w:val="en-US" w:eastAsia="ru-RU"/>
        </w:rPr>
        <w:t>s</w:t>
      </w:r>
      <w:r w:rsidRPr="00411CFF">
        <w:rPr>
          <w:rFonts w:ascii="Times New Roman" w:hAnsi="Times New Roman"/>
          <w:sz w:val="24"/>
          <w:szCs w:val="24"/>
          <w:lang w:val="en-US" w:eastAsia="ru-RU"/>
        </w:rPr>
        <w:t xml:space="preserve"> discussions on current social, political, and economic issues among </w:t>
      </w:r>
      <w:r w:rsidR="001E0B94">
        <w:rPr>
          <w:rFonts w:ascii="Times New Roman" w:hAnsi="Times New Roman"/>
          <w:sz w:val="24"/>
          <w:szCs w:val="24"/>
          <w:lang w:val="en-US" w:eastAsia="ru-RU"/>
        </w:rPr>
        <w:t xml:space="preserve">the </w:t>
      </w:r>
      <w:r w:rsidRPr="00411CFF">
        <w:rPr>
          <w:rFonts w:ascii="Times New Roman" w:hAnsi="Times New Roman"/>
          <w:sz w:val="24"/>
          <w:szCs w:val="24"/>
          <w:lang w:val="en-US" w:eastAsia="ru-RU"/>
        </w:rPr>
        <w:t xml:space="preserve">representatives of civil society, government, business, and </w:t>
      </w:r>
      <w:r w:rsidR="00532C16" w:rsidRPr="00411CFF">
        <w:rPr>
          <w:rFonts w:ascii="Times New Roman" w:hAnsi="Times New Roman"/>
          <w:sz w:val="24"/>
          <w:szCs w:val="24"/>
          <w:lang w:val="en-US" w:eastAsia="ru-RU"/>
        </w:rPr>
        <w:t xml:space="preserve">the </w:t>
      </w:r>
      <w:r w:rsidRPr="00411CFF">
        <w:rPr>
          <w:rFonts w:ascii="Times New Roman" w:hAnsi="Times New Roman"/>
          <w:sz w:val="24"/>
          <w:szCs w:val="24"/>
          <w:lang w:val="en-US" w:eastAsia="ru-RU"/>
        </w:rPr>
        <w:t>academic community</w:t>
      </w:r>
      <w:r w:rsidR="00297F18" w:rsidRPr="00411CFF">
        <w:rPr>
          <w:rFonts w:ascii="Times New Roman" w:hAnsi="Times New Roman"/>
          <w:sz w:val="24"/>
          <w:szCs w:val="24"/>
          <w:lang w:val="en-US"/>
        </w:rPr>
        <w:t xml:space="preserve">. </w:t>
      </w:r>
      <w:r w:rsidR="00DB48AF">
        <w:rPr>
          <w:rFonts w:ascii="Times New Roman" w:hAnsi="Times New Roman"/>
          <w:sz w:val="24"/>
          <w:szCs w:val="24"/>
          <w:lang w:val="en-US"/>
        </w:rPr>
        <w:t>Fifty-two such</w:t>
      </w:r>
      <w:r w:rsidRPr="00411CFF">
        <w:rPr>
          <w:rFonts w:ascii="Times New Roman" w:hAnsi="Times New Roman"/>
          <w:sz w:val="24"/>
          <w:szCs w:val="24"/>
          <w:lang w:val="en-US"/>
        </w:rPr>
        <w:t xml:space="preserve"> events </w:t>
      </w:r>
      <w:r w:rsidR="00EB3427">
        <w:rPr>
          <w:rFonts w:ascii="Times New Roman" w:hAnsi="Times New Roman"/>
          <w:sz w:val="24"/>
          <w:szCs w:val="24"/>
          <w:lang w:val="en-US"/>
        </w:rPr>
        <w:t>focused on</w:t>
      </w:r>
      <w:r w:rsidRPr="00411CFF">
        <w:rPr>
          <w:rFonts w:ascii="Times New Roman" w:hAnsi="Times New Roman"/>
          <w:sz w:val="24"/>
          <w:szCs w:val="24"/>
          <w:lang w:val="en-US"/>
        </w:rPr>
        <w:t xml:space="preserve"> the development of civil society were held</w:t>
      </w:r>
      <w:r w:rsidR="00297F18" w:rsidRPr="00411CFF">
        <w:rPr>
          <w:rFonts w:ascii="Times New Roman" w:hAnsi="Times New Roman"/>
          <w:sz w:val="24"/>
          <w:szCs w:val="24"/>
          <w:lang w:val="en-US"/>
        </w:rPr>
        <w:t xml:space="preserve"> in 2016</w:t>
      </w:r>
      <w:r w:rsidRPr="00411CFF">
        <w:rPr>
          <w:rFonts w:ascii="Times New Roman" w:hAnsi="Times New Roman"/>
          <w:sz w:val="24"/>
          <w:szCs w:val="24"/>
          <w:lang w:val="en-US"/>
        </w:rPr>
        <w:t xml:space="preserve">. </w:t>
      </w:r>
    </w:p>
    <w:p w14:paraId="0124D326" w14:textId="2B129A29" w:rsidR="00F40E64" w:rsidRPr="00411CFF" w:rsidRDefault="00F40E64" w:rsidP="0051131B">
      <w:pPr>
        <w:spacing w:after="0" w:line="312" w:lineRule="auto"/>
        <w:ind w:firstLine="709"/>
        <w:contextualSpacing/>
        <w:jc w:val="both"/>
        <w:rPr>
          <w:rFonts w:ascii="Times New Roman" w:eastAsia="Times New Roman" w:hAnsi="Times New Roman"/>
          <w:color w:val="000000" w:themeColor="text1"/>
          <w:sz w:val="24"/>
          <w:szCs w:val="24"/>
          <w:lang w:val="en-US" w:eastAsia="ru-RU"/>
        </w:rPr>
      </w:pPr>
      <w:r w:rsidRPr="00411CFF">
        <w:rPr>
          <w:rFonts w:ascii="Times New Roman" w:eastAsia="Times New Roman" w:hAnsi="Times New Roman"/>
          <w:color w:val="000000" w:themeColor="text1"/>
          <w:sz w:val="24"/>
          <w:szCs w:val="24"/>
          <w:lang w:val="en-US" w:eastAsia="ru-RU"/>
        </w:rPr>
        <w:t xml:space="preserve">The </w:t>
      </w:r>
      <w:r w:rsidR="00714353" w:rsidRPr="00411CFF">
        <w:rPr>
          <w:rFonts w:ascii="Times New Roman" w:eastAsia="Times New Roman" w:hAnsi="Times New Roman"/>
          <w:color w:val="000000" w:themeColor="text1"/>
          <w:sz w:val="24"/>
          <w:szCs w:val="24"/>
          <w:lang w:val="en-US" w:eastAsia="ru-RU"/>
        </w:rPr>
        <w:t>university</w:t>
      </w:r>
      <w:r w:rsidR="00E61AC2">
        <w:rPr>
          <w:rFonts w:ascii="Times New Roman" w:eastAsia="Times New Roman" w:hAnsi="Times New Roman"/>
          <w:color w:val="000000" w:themeColor="text1"/>
          <w:sz w:val="24"/>
          <w:szCs w:val="24"/>
          <w:lang w:val="en-US" w:eastAsia="ru-RU"/>
        </w:rPr>
        <w:t xml:space="preserve"> </w:t>
      </w:r>
      <w:r w:rsidRPr="00E61AC2">
        <w:rPr>
          <w:rFonts w:ascii="Times New Roman" w:eastAsia="Times New Roman" w:hAnsi="Times New Roman"/>
          <w:color w:val="000000" w:themeColor="text1"/>
          <w:sz w:val="24"/>
          <w:szCs w:val="24"/>
          <w:lang w:val="en-US" w:eastAsia="ru-RU"/>
        </w:rPr>
        <w:t xml:space="preserve">contributes to the promotion of high quality </w:t>
      </w:r>
      <w:r w:rsidRPr="00411CFF">
        <w:rPr>
          <w:rFonts w:ascii="Times New Roman" w:eastAsia="Times New Roman" w:hAnsi="Times New Roman"/>
          <w:color w:val="000000" w:themeColor="text1"/>
          <w:sz w:val="24"/>
          <w:szCs w:val="24"/>
          <w:lang w:val="en-US" w:eastAsia="ru-RU"/>
        </w:rPr>
        <w:t>courses</w:t>
      </w:r>
      <w:r w:rsidR="00636E5B" w:rsidRPr="00411CFF">
        <w:rPr>
          <w:rFonts w:ascii="Times New Roman" w:eastAsia="Times New Roman" w:hAnsi="Times New Roman"/>
          <w:color w:val="000000" w:themeColor="text1"/>
          <w:sz w:val="24"/>
          <w:szCs w:val="24"/>
          <w:lang w:val="en-US" w:eastAsia="ru-RU"/>
        </w:rPr>
        <w:t>,</w:t>
      </w:r>
      <w:r w:rsidRPr="00411CFF">
        <w:rPr>
          <w:rFonts w:ascii="Times New Roman" w:eastAsia="Times New Roman" w:hAnsi="Times New Roman"/>
          <w:color w:val="000000" w:themeColor="text1"/>
          <w:sz w:val="24"/>
          <w:szCs w:val="24"/>
          <w:lang w:val="en-US" w:eastAsia="ru-RU"/>
        </w:rPr>
        <w:t xml:space="preserve"> both in </w:t>
      </w:r>
      <w:r w:rsidR="00636E5B" w:rsidRPr="00411CFF">
        <w:rPr>
          <w:rFonts w:ascii="Times New Roman" w:eastAsia="Times New Roman" w:hAnsi="Times New Roman"/>
          <w:color w:val="000000" w:themeColor="text1"/>
          <w:sz w:val="24"/>
          <w:szCs w:val="24"/>
          <w:lang w:val="en-US" w:eastAsia="ru-RU"/>
        </w:rPr>
        <w:t xml:space="preserve">Russia </w:t>
      </w:r>
      <w:r w:rsidRPr="00411CFF">
        <w:rPr>
          <w:rFonts w:ascii="Times New Roman" w:eastAsia="Times New Roman" w:hAnsi="Times New Roman"/>
          <w:color w:val="000000" w:themeColor="text1"/>
          <w:sz w:val="24"/>
          <w:szCs w:val="24"/>
          <w:lang w:val="en-US" w:eastAsia="ru-RU"/>
        </w:rPr>
        <w:t xml:space="preserve">and </w:t>
      </w:r>
      <w:r w:rsidR="006F35E0" w:rsidRPr="00411CFF">
        <w:rPr>
          <w:rFonts w:ascii="Times New Roman" w:eastAsia="Times New Roman" w:hAnsi="Times New Roman"/>
          <w:color w:val="000000" w:themeColor="text1"/>
          <w:sz w:val="24"/>
          <w:szCs w:val="24"/>
          <w:lang w:val="en-US" w:eastAsia="ru-RU"/>
        </w:rPr>
        <w:t>globally</w:t>
      </w:r>
      <w:r w:rsidRPr="00411CFF">
        <w:rPr>
          <w:rFonts w:ascii="Times New Roman" w:eastAsia="Times New Roman" w:hAnsi="Times New Roman"/>
          <w:color w:val="000000" w:themeColor="text1"/>
          <w:sz w:val="24"/>
          <w:szCs w:val="24"/>
          <w:lang w:val="en-US" w:eastAsia="ru-RU"/>
        </w:rPr>
        <w:t xml:space="preserve"> </w:t>
      </w:r>
      <w:r w:rsidR="00636E5B" w:rsidRPr="00411CFF">
        <w:rPr>
          <w:rFonts w:ascii="Times New Roman" w:eastAsia="Times New Roman" w:hAnsi="Times New Roman"/>
          <w:color w:val="000000" w:themeColor="text1"/>
          <w:sz w:val="24"/>
          <w:szCs w:val="24"/>
          <w:lang w:val="en-US" w:eastAsia="ru-RU"/>
        </w:rPr>
        <w:t xml:space="preserve">via </w:t>
      </w:r>
      <w:r w:rsidRPr="00411CFF">
        <w:rPr>
          <w:rFonts w:ascii="Times New Roman" w:eastAsia="Times New Roman" w:hAnsi="Times New Roman"/>
          <w:color w:val="000000" w:themeColor="text1"/>
          <w:sz w:val="24"/>
          <w:szCs w:val="24"/>
          <w:lang w:eastAsia="ru-RU"/>
        </w:rPr>
        <w:t>М</w:t>
      </w:r>
      <w:r w:rsidRPr="00411CFF">
        <w:rPr>
          <w:rFonts w:ascii="Times New Roman" w:eastAsia="Times New Roman" w:hAnsi="Times New Roman"/>
          <w:color w:val="000000" w:themeColor="text1"/>
          <w:sz w:val="24"/>
          <w:szCs w:val="24"/>
          <w:lang w:val="en-US" w:eastAsia="ru-RU"/>
        </w:rPr>
        <w:t xml:space="preserve">OOCs hosted on the National Open Education Platform. </w:t>
      </w:r>
      <w:r w:rsidR="00636E5B" w:rsidRPr="00411CFF">
        <w:rPr>
          <w:rFonts w:ascii="Times New Roman" w:eastAsia="Times New Roman" w:hAnsi="Times New Roman"/>
          <w:color w:val="000000" w:themeColor="text1"/>
          <w:sz w:val="24"/>
          <w:szCs w:val="24"/>
          <w:lang w:val="en-US" w:eastAsia="ru-RU"/>
        </w:rPr>
        <w:t xml:space="preserve">At present, </w:t>
      </w:r>
      <w:r w:rsidRPr="00411CFF">
        <w:rPr>
          <w:rFonts w:ascii="Times New Roman" w:eastAsia="Times New Roman" w:hAnsi="Times New Roman"/>
          <w:color w:val="000000" w:themeColor="text1"/>
          <w:sz w:val="24"/>
          <w:szCs w:val="24"/>
          <w:lang w:val="en-US" w:eastAsia="ru-RU"/>
        </w:rPr>
        <w:t>HSE offers 27 online courses</w:t>
      </w:r>
      <w:r w:rsidR="00EB3427">
        <w:rPr>
          <w:rFonts w:ascii="Times New Roman" w:eastAsia="Times New Roman" w:hAnsi="Times New Roman"/>
          <w:color w:val="000000" w:themeColor="text1"/>
          <w:sz w:val="24"/>
          <w:szCs w:val="24"/>
          <w:lang w:val="en-US" w:eastAsia="ru-RU"/>
        </w:rPr>
        <w:t xml:space="preserve"> with</w:t>
      </w:r>
      <w:r w:rsidRPr="00411CFF">
        <w:rPr>
          <w:rFonts w:ascii="Times New Roman" w:eastAsia="Times New Roman" w:hAnsi="Times New Roman"/>
          <w:color w:val="000000" w:themeColor="text1"/>
          <w:sz w:val="24"/>
          <w:szCs w:val="24"/>
          <w:lang w:val="en-US" w:eastAsia="ru-RU"/>
        </w:rPr>
        <w:t xml:space="preserve"> 235,000 </w:t>
      </w:r>
      <w:r w:rsidR="00EB3427">
        <w:rPr>
          <w:rFonts w:ascii="Times New Roman" w:eastAsia="Times New Roman" w:hAnsi="Times New Roman"/>
          <w:color w:val="000000" w:themeColor="text1"/>
          <w:sz w:val="24"/>
          <w:szCs w:val="24"/>
          <w:lang w:val="en-US" w:eastAsia="ru-RU"/>
        </w:rPr>
        <w:t>students.</w:t>
      </w:r>
      <w:r w:rsidRPr="00411CFF">
        <w:rPr>
          <w:rFonts w:ascii="Times New Roman" w:eastAsia="Times New Roman" w:hAnsi="Times New Roman"/>
          <w:color w:val="000000" w:themeColor="text1"/>
          <w:sz w:val="24"/>
          <w:szCs w:val="24"/>
          <w:lang w:val="en-US" w:eastAsia="ru-RU"/>
        </w:rPr>
        <w:t xml:space="preserve"> </w:t>
      </w:r>
    </w:p>
    <w:p w14:paraId="2FE20768" w14:textId="6CBB80DC" w:rsidR="00F40E64" w:rsidRPr="0049786C" w:rsidRDefault="0090162C" w:rsidP="0051131B">
      <w:pPr>
        <w:spacing w:after="0" w:line="312" w:lineRule="auto"/>
        <w:ind w:firstLine="709"/>
        <w:jc w:val="both"/>
        <w:rPr>
          <w:rFonts w:ascii="Times New Roman" w:hAnsi="Times New Roman"/>
          <w:sz w:val="24"/>
          <w:szCs w:val="24"/>
          <w:lang w:val="en-US" w:eastAsia="ru-RU"/>
        </w:rPr>
      </w:pPr>
      <w:r w:rsidRPr="00411CFF">
        <w:rPr>
          <w:rFonts w:ascii="Times New Roman" w:hAnsi="Times New Roman"/>
          <w:sz w:val="24"/>
          <w:szCs w:val="24"/>
          <w:lang w:val="en-US" w:eastAsia="ru-RU"/>
        </w:rPr>
        <w:t>In addition</w:t>
      </w:r>
      <w:r w:rsidR="00903500" w:rsidRPr="00411CFF">
        <w:rPr>
          <w:rFonts w:ascii="Times New Roman" w:hAnsi="Times New Roman"/>
          <w:sz w:val="24"/>
          <w:szCs w:val="24"/>
          <w:lang w:val="en-US" w:eastAsia="ru-RU"/>
        </w:rPr>
        <w:t xml:space="preserve">, </w:t>
      </w:r>
      <w:r w:rsidR="00F40E64" w:rsidRPr="00411CFF">
        <w:rPr>
          <w:rFonts w:ascii="Times New Roman" w:hAnsi="Times New Roman"/>
          <w:sz w:val="24"/>
          <w:szCs w:val="24"/>
          <w:lang w:val="en-US" w:eastAsia="ru-RU"/>
        </w:rPr>
        <w:t xml:space="preserve">HSE operates as an open platform for the professional development of secondary school teachers. </w:t>
      </w:r>
      <w:r w:rsidR="00FB3B87">
        <w:rPr>
          <w:rFonts w:ascii="Times New Roman" w:hAnsi="Times New Roman"/>
          <w:sz w:val="24"/>
          <w:szCs w:val="24"/>
          <w:lang w:val="en-US" w:eastAsia="ru-RU"/>
        </w:rPr>
        <w:t xml:space="preserve">In 2015, </w:t>
      </w:r>
      <w:r w:rsidR="003E4F9C" w:rsidRPr="00411CFF">
        <w:rPr>
          <w:rFonts w:ascii="Times New Roman" w:hAnsi="Times New Roman"/>
          <w:sz w:val="24"/>
          <w:szCs w:val="24"/>
          <w:lang w:val="en-US" w:eastAsia="ru-RU"/>
        </w:rPr>
        <w:t>a total of</w:t>
      </w:r>
      <w:r w:rsidR="00F40E64" w:rsidRPr="00411CFF">
        <w:rPr>
          <w:rFonts w:ascii="Times New Roman" w:hAnsi="Times New Roman"/>
          <w:sz w:val="24"/>
          <w:szCs w:val="24"/>
          <w:lang w:val="en-US" w:eastAsia="ru-RU"/>
        </w:rPr>
        <w:t xml:space="preserve"> 3,789 teachers participated in the university’s CPD programmes. </w:t>
      </w:r>
    </w:p>
    <w:p w14:paraId="704B6AA2" w14:textId="77777777" w:rsidR="0051131B" w:rsidRPr="0049786C" w:rsidRDefault="0051131B" w:rsidP="0051131B">
      <w:pPr>
        <w:spacing w:after="0" w:line="312" w:lineRule="auto"/>
        <w:ind w:firstLine="709"/>
        <w:jc w:val="both"/>
        <w:rPr>
          <w:rFonts w:ascii="Times New Roman" w:hAnsi="Times New Roman"/>
          <w:sz w:val="24"/>
          <w:szCs w:val="24"/>
          <w:lang w:val="en-US"/>
        </w:rPr>
      </w:pPr>
    </w:p>
    <w:p w14:paraId="0D42ED23" w14:textId="77777777" w:rsidR="00F40E64" w:rsidRPr="00E61AC2" w:rsidRDefault="00F40E64" w:rsidP="0051131B">
      <w:pPr>
        <w:spacing w:after="0" w:line="312" w:lineRule="auto"/>
        <w:ind w:firstLine="709"/>
        <w:contextualSpacing/>
        <w:jc w:val="both"/>
        <w:rPr>
          <w:rFonts w:ascii="Times New Roman" w:hAnsi="Times New Roman"/>
          <w:b/>
          <w:sz w:val="24"/>
          <w:szCs w:val="24"/>
          <w:lang w:val="en-US"/>
        </w:rPr>
      </w:pPr>
      <w:r w:rsidRPr="00411CFF">
        <w:rPr>
          <w:rFonts w:ascii="Times New Roman" w:hAnsi="Times New Roman"/>
          <w:b/>
          <w:sz w:val="24"/>
          <w:szCs w:val="24"/>
        </w:rPr>
        <w:t>Strategic</w:t>
      </w:r>
      <w:r w:rsidRPr="00411CFF">
        <w:rPr>
          <w:rFonts w:ascii="Times New Roman" w:hAnsi="Times New Roman"/>
          <w:b/>
          <w:sz w:val="24"/>
          <w:szCs w:val="24"/>
          <w:lang w:val="en-US"/>
        </w:rPr>
        <w:t xml:space="preserve"> </w:t>
      </w:r>
      <w:r w:rsidR="00081DBA" w:rsidRPr="00411CFF">
        <w:rPr>
          <w:rFonts w:ascii="Times New Roman" w:hAnsi="Times New Roman"/>
          <w:b/>
          <w:sz w:val="24"/>
          <w:szCs w:val="24"/>
        </w:rPr>
        <w:t>Initiative</w:t>
      </w:r>
      <w:r w:rsidR="00081DBA" w:rsidRPr="00411CFF">
        <w:rPr>
          <w:rFonts w:ascii="Times New Roman" w:hAnsi="Times New Roman"/>
          <w:b/>
          <w:sz w:val="24"/>
          <w:szCs w:val="24"/>
          <w:lang w:val="en-US"/>
        </w:rPr>
        <w:t xml:space="preserve"> </w:t>
      </w:r>
      <w:r w:rsidRPr="00411CFF">
        <w:rPr>
          <w:rFonts w:ascii="Times New Roman" w:hAnsi="Times New Roman"/>
          <w:b/>
          <w:sz w:val="24"/>
          <w:szCs w:val="24"/>
          <w:lang w:val="en-US"/>
        </w:rPr>
        <w:t xml:space="preserve">No. 7: </w:t>
      </w:r>
      <w:r w:rsidR="00E61AC2">
        <w:rPr>
          <w:rFonts w:ascii="Times New Roman" w:hAnsi="Times New Roman"/>
          <w:b/>
          <w:sz w:val="24"/>
          <w:szCs w:val="24"/>
        </w:rPr>
        <w:t xml:space="preserve">University’s </w:t>
      </w:r>
      <w:r w:rsidR="00CC36D1">
        <w:rPr>
          <w:rFonts w:ascii="Times New Roman" w:hAnsi="Times New Roman"/>
          <w:b/>
          <w:sz w:val="24"/>
          <w:szCs w:val="24"/>
        </w:rPr>
        <w:t>International</w:t>
      </w:r>
      <w:r w:rsidRPr="00E61AC2">
        <w:rPr>
          <w:rFonts w:ascii="Times New Roman" w:hAnsi="Times New Roman"/>
          <w:b/>
          <w:sz w:val="24"/>
          <w:szCs w:val="24"/>
          <w:lang w:val="en-US"/>
        </w:rPr>
        <w:t xml:space="preserve"> </w:t>
      </w:r>
      <w:r w:rsidRPr="00E61AC2">
        <w:rPr>
          <w:rFonts w:ascii="Times New Roman" w:hAnsi="Times New Roman"/>
          <w:b/>
          <w:sz w:val="24"/>
          <w:szCs w:val="24"/>
        </w:rPr>
        <w:t>Positioning</w:t>
      </w:r>
    </w:p>
    <w:p w14:paraId="40914265" w14:textId="4EDEBA72" w:rsidR="00F40E64" w:rsidRPr="00411CFF" w:rsidRDefault="003142F0" w:rsidP="0051131B">
      <w:pPr>
        <w:spacing w:after="0" w:line="312" w:lineRule="auto"/>
        <w:ind w:firstLine="709"/>
        <w:contextualSpacing/>
        <w:jc w:val="both"/>
        <w:rPr>
          <w:rFonts w:ascii="Times New Roman" w:hAnsi="Times New Roman"/>
          <w:sz w:val="24"/>
          <w:szCs w:val="24"/>
          <w:lang w:val="en-US" w:eastAsia="ru-RU"/>
        </w:rPr>
      </w:pPr>
      <w:r w:rsidRPr="00411CFF">
        <w:rPr>
          <w:rFonts w:ascii="Times New Roman" w:hAnsi="Times New Roman"/>
          <w:sz w:val="24"/>
          <w:szCs w:val="24"/>
          <w:lang w:val="en-US" w:eastAsia="ru-RU"/>
        </w:rPr>
        <w:t>Following</w:t>
      </w:r>
      <w:r w:rsidR="00F40E64" w:rsidRPr="00411CFF">
        <w:rPr>
          <w:rFonts w:ascii="Times New Roman" w:hAnsi="Times New Roman"/>
          <w:sz w:val="24"/>
          <w:szCs w:val="24"/>
          <w:lang w:val="en-US" w:eastAsia="ru-RU"/>
        </w:rPr>
        <w:t xml:space="preserve"> </w:t>
      </w:r>
      <w:r w:rsidR="001E0B94">
        <w:rPr>
          <w:rFonts w:ascii="Times New Roman" w:hAnsi="Times New Roman"/>
          <w:sz w:val="24"/>
          <w:szCs w:val="24"/>
          <w:lang w:val="en-US" w:eastAsia="ru-RU"/>
        </w:rPr>
        <w:t>the</w:t>
      </w:r>
      <w:r w:rsidR="003A1125" w:rsidRPr="00411CFF">
        <w:rPr>
          <w:rFonts w:ascii="Times New Roman" w:hAnsi="Times New Roman"/>
          <w:sz w:val="24"/>
          <w:szCs w:val="24"/>
          <w:lang w:val="en-US" w:eastAsia="ru-RU"/>
        </w:rPr>
        <w:t xml:space="preserve"> </w:t>
      </w:r>
      <w:r w:rsidR="00F40E64" w:rsidRPr="00411CFF">
        <w:rPr>
          <w:rFonts w:ascii="Times New Roman" w:hAnsi="Times New Roman"/>
          <w:sz w:val="24"/>
          <w:szCs w:val="24"/>
          <w:lang w:val="en-US" w:eastAsia="ru-RU"/>
        </w:rPr>
        <w:t>analysis of HSE’s target audiences (</w:t>
      </w:r>
      <w:r w:rsidRPr="00411CFF">
        <w:rPr>
          <w:rFonts w:ascii="Times New Roman" w:hAnsi="Times New Roman"/>
          <w:sz w:val="24"/>
          <w:szCs w:val="24"/>
          <w:lang w:val="en-US" w:eastAsia="ru-RU"/>
        </w:rPr>
        <w:t xml:space="preserve">e.g., </w:t>
      </w:r>
      <w:r w:rsidR="00F40E64" w:rsidRPr="00411CFF">
        <w:rPr>
          <w:rFonts w:ascii="Times New Roman" w:hAnsi="Times New Roman"/>
          <w:sz w:val="24"/>
          <w:szCs w:val="24"/>
          <w:lang w:val="en-US" w:eastAsia="ru-RU"/>
        </w:rPr>
        <w:t xml:space="preserve">prospective students, </w:t>
      </w:r>
      <w:r w:rsidR="00CD676A" w:rsidRPr="00411CFF">
        <w:rPr>
          <w:rFonts w:ascii="Times New Roman" w:hAnsi="Times New Roman"/>
          <w:sz w:val="24"/>
          <w:szCs w:val="24"/>
          <w:lang w:val="en-US" w:eastAsia="ru-RU"/>
        </w:rPr>
        <w:t xml:space="preserve">the </w:t>
      </w:r>
      <w:r w:rsidR="00F40E64" w:rsidRPr="00411CFF">
        <w:rPr>
          <w:rFonts w:ascii="Times New Roman" w:hAnsi="Times New Roman"/>
          <w:sz w:val="24"/>
          <w:szCs w:val="24"/>
          <w:lang w:val="en-US" w:eastAsia="ru-RU"/>
        </w:rPr>
        <w:t xml:space="preserve">academic community, </w:t>
      </w:r>
      <w:r w:rsidR="00D808D4" w:rsidRPr="00411CFF">
        <w:rPr>
          <w:rFonts w:ascii="Times New Roman" w:hAnsi="Times New Roman"/>
          <w:sz w:val="24"/>
          <w:szCs w:val="24"/>
          <w:lang w:val="en-US" w:eastAsia="ru-RU"/>
        </w:rPr>
        <w:t xml:space="preserve">potential </w:t>
      </w:r>
      <w:r w:rsidR="00F40E64" w:rsidRPr="00411CFF">
        <w:rPr>
          <w:rFonts w:ascii="Times New Roman" w:hAnsi="Times New Roman"/>
          <w:sz w:val="24"/>
          <w:szCs w:val="24"/>
          <w:lang w:val="en-US" w:eastAsia="ru-RU"/>
        </w:rPr>
        <w:t>employers</w:t>
      </w:r>
      <w:r w:rsidR="003A1125" w:rsidRPr="00411CFF">
        <w:rPr>
          <w:rFonts w:ascii="Times New Roman" w:hAnsi="Times New Roman"/>
          <w:sz w:val="24"/>
          <w:szCs w:val="24"/>
          <w:lang w:val="en-US" w:eastAsia="ru-RU"/>
        </w:rPr>
        <w:t>, etc.</w:t>
      </w:r>
      <w:r w:rsidR="00F40E64" w:rsidRPr="00411CFF">
        <w:rPr>
          <w:rFonts w:ascii="Times New Roman" w:hAnsi="Times New Roman"/>
          <w:sz w:val="24"/>
          <w:szCs w:val="24"/>
          <w:lang w:val="en-US" w:eastAsia="ru-RU"/>
        </w:rPr>
        <w:t>)</w:t>
      </w:r>
      <w:proofErr w:type="gramStart"/>
      <w:r w:rsidR="00F40E64" w:rsidRPr="00411CFF">
        <w:rPr>
          <w:rFonts w:ascii="Times New Roman" w:hAnsi="Times New Roman"/>
          <w:sz w:val="24"/>
          <w:szCs w:val="24"/>
          <w:lang w:val="en-US" w:eastAsia="ru-RU"/>
        </w:rPr>
        <w:t>,</w:t>
      </w:r>
      <w:proofErr w:type="gramEnd"/>
      <w:r w:rsidR="00F40E64" w:rsidRPr="00411CFF">
        <w:rPr>
          <w:rFonts w:ascii="Times New Roman" w:hAnsi="Times New Roman"/>
          <w:sz w:val="24"/>
          <w:szCs w:val="24"/>
          <w:lang w:val="en-US" w:eastAsia="ru-RU"/>
        </w:rPr>
        <w:t xml:space="preserve"> </w:t>
      </w:r>
      <w:r w:rsidR="00893A65" w:rsidRPr="00411CFF">
        <w:rPr>
          <w:rFonts w:ascii="Times New Roman" w:hAnsi="Times New Roman"/>
          <w:sz w:val="24"/>
          <w:szCs w:val="24"/>
          <w:lang w:val="en-US" w:eastAsia="ru-RU"/>
        </w:rPr>
        <w:t>the university</w:t>
      </w:r>
      <w:r w:rsidR="00F40E64" w:rsidRPr="00411CFF">
        <w:rPr>
          <w:rFonts w:ascii="Times New Roman" w:hAnsi="Times New Roman"/>
          <w:sz w:val="24"/>
          <w:szCs w:val="24"/>
          <w:lang w:val="en-US" w:eastAsia="ru-RU"/>
        </w:rPr>
        <w:t xml:space="preserve"> </w:t>
      </w:r>
      <w:r w:rsidR="004F135A">
        <w:rPr>
          <w:rFonts w:ascii="Times New Roman" w:hAnsi="Times New Roman"/>
          <w:sz w:val="24"/>
          <w:szCs w:val="24"/>
          <w:lang w:val="en-US" w:eastAsia="ru-RU"/>
        </w:rPr>
        <w:t>marketing</w:t>
      </w:r>
      <w:r w:rsidR="00F40E64" w:rsidRPr="00411CFF">
        <w:rPr>
          <w:rFonts w:ascii="Times New Roman" w:hAnsi="Times New Roman"/>
          <w:sz w:val="24"/>
          <w:szCs w:val="24"/>
          <w:lang w:val="en-US" w:eastAsia="ru-RU"/>
        </w:rPr>
        <w:t xml:space="preserve"> campaign </w:t>
      </w:r>
      <w:r w:rsidRPr="00411CFF">
        <w:rPr>
          <w:rFonts w:ascii="Times New Roman" w:hAnsi="Times New Roman"/>
          <w:sz w:val="24"/>
          <w:szCs w:val="24"/>
          <w:lang w:val="en-US" w:eastAsia="ru-RU"/>
        </w:rPr>
        <w:t xml:space="preserve">for </w:t>
      </w:r>
      <w:r w:rsidR="002F4010">
        <w:rPr>
          <w:rFonts w:ascii="Times New Roman" w:hAnsi="Times New Roman"/>
          <w:sz w:val="24"/>
          <w:szCs w:val="24"/>
          <w:lang w:val="en-US" w:eastAsia="ru-RU"/>
        </w:rPr>
        <w:t>the</w:t>
      </w:r>
      <w:r w:rsidR="00F40E64" w:rsidRPr="00411CFF">
        <w:rPr>
          <w:rFonts w:ascii="Times New Roman" w:hAnsi="Times New Roman"/>
          <w:sz w:val="24"/>
          <w:szCs w:val="24"/>
          <w:lang w:val="en-US" w:eastAsia="ru-RU"/>
        </w:rPr>
        <w:t xml:space="preserve"> undergraduate</w:t>
      </w:r>
      <w:r w:rsidR="002F4010">
        <w:rPr>
          <w:rFonts w:ascii="Times New Roman" w:hAnsi="Times New Roman"/>
          <w:sz w:val="24"/>
          <w:szCs w:val="24"/>
          <w:lang w:val="en-US" w:eastAsia="ru-RU"/>
        </w:rPr>
        <w:t xml:space="preserve"> and graduate </w:t>
      </w:r>
      <w:r w:rsidR="00F40E64" w:rsidRPr="00411CFF">
        <w:rPr>
          <w:rFonts w:ascii="Times New Roman" w:hAnsi="Times New Roman"/>
          <w:sz w:val="24"/>
          <w:szCs w:val="24"/>
          <w:lang w:val="en-US" w:eastAsia="ru-RU"/>
        </w:rPr>
        <w:t xml:space="preserve">programmes </w:t>
      </w:r>
      <w:r w:rsidR="002264E7" w:rsidRPr="00411CFF">
        <w:rPr>
          <w:rFonts w:ascii="Times New Roman" w:hAnsi="Times New Roman"/>
          <w:sz w:val="24"/>
          <w:szCs w:val="24"/>
          <w:lang w:val="en-US" w:eastAsia="ru-RU"/>
        </w:rPr>
        <w:t>ha</w:t>
      </w:r>
      <w:r w:rsidR="004F135A">
        <w:rPr>
          <w:rFonts w:ascii="Times New Roman" w:hAnsi="Times New Roman"/>
          <w:sz w:val="24"/>
          <w:szCs w:val="24"/>
          <w:lang w:val="en-US" w:eastAsia="ru-RU"/>
        </w:rPr>
        <w:t>s</w:t>
      </w:r>
      <w:r w:rsidR="002264E7" w:rsidRPr="00411CFF">
        <w:rPr>
          <w:rFonts w:ascii="Times New Roman" w:hAnsi="Times New Roman"/>
          <w:sz w:val="24"/>
          <w:szCs w:val="24"/>
          <w:lang w:val="en-US" w:eastAsia="ru-RU"/>
        </w:rPr>
        <w:t xml:space="preserve"> </w:t>
      </w:r>
      <w:r w:rsidR="00F40E64" w:rsidRPr="00411CFF">
        <w:rPr>
          <w:rFonts w:ascii="Times New Roman" w:hAnsi="Times New Roman"/>
          <w:sz w:val="24"/>
          <w:szCs w:val="24"/>
          <w:lang w:val="en-US" w:eastAsia="ru-RU"/>
        </w:rPr>
        <w:t xml:space="preserve">been </w:t>
      </w:r>
      <w:r w:rsidR="002F4010">
        <w:rPr>
          <w:rFonts w:ascii="Times New Roman" w:hAnsi="Times New Roman"/>
          <w:sz w:val="24"/>
          <w:szCs w:val="24"/>
          <w:lang w:val="en-US" w:eastAsia="ru-RU"/>
        </w:rPr>
        <w:t>improved</w:t>
      </w:r>
      <w:r w:rsidR="00F40E64" w:rsidRPr="00411CFF">
        <w:rPr>
          <w:rFonts w:ascii="Times New Roman" w:hAnsi="Times New Roman"/>
          <w:sz w:val="24"/>
          <w:szCs w:val="24"/>
          <w:lang w:val="en-US" w:eastAsia="ru-RU"/>
        </w:rPr>
        <w:t xml:space="preserve">. </w:t>
      </w:r>
      <w:r w:rsidR="00EE409B" w:rsidRPr="00411CFF">
        <w:rPr>
          <w:rFonts w:ascii="Times New Roman" w:hAnsi="Times New Roman"/>
          <w:sz w:val="24"/>
          <w:szCs w:val="24"/>
          <w:lang w:val="en-US" w:eastAsia="ru-RU"/>
        </w:rPr>
        <w:t xml:space="preserve">As a result, the campaign </w:t>
      </w:r>
      <w:r w:rsidR="007A0006" w:rsidRPr="00411CFF">
        <w:rPr>
          <w:rFonts w:ascii="Times New Roman" w:hAnsi="Times New Roman"/>
          <w:sz w:val="24"/>
          <w:szCs w:val="24"/>
          <w:lang w:val="en-US" w:eastAsia="ru-RU"/>
        </w:rPr>
        <w:t>ha</w:t>
      </w:r>
      <w:r w:rsidR="004F135A">
        <w:rPr>
          <w:rFonts w:ascii="Times New Roman" w:hAnsi="Times New Roman"/>
          <w:sz w:val="24"/>
          <w:szCs w:val="24"/>
          <w:lang w:val="en-US" w:eastAsia="ru-RU"/>
        </w:rPr>
        <w:t>s</w:t>
      </w:r>
      <w:r w:rsidR="007A0006" w:rsidRPr="00411CFF">
        <w:rPr>
          <w:rFonts w:ascii="Times New Roman" w:hAnsi="Times New Roman"/>
          <w:sz w:val="24"/>
          <w:szCs w:val="24"/>
          <w:lang w:val="en-US" w:eastAsia="ru-RU"/>
        </w:rPr>
        <w:t xml:space="preserve"> been successful in boosting</w:t>
      </w:r>
      <w:r w:rsidR="00F40E64" w:rsidRPr="00411CFF">
        <w:rPr>
          <w:rFonts w:ascii="Times New Roman" w:hAnsi="Times New Roman"/>
          <w:sz w:val="24"/>
          <w:szCs w:val="24"/>
          <w:lang w:val="en-US" w:eastAsia="ru-RU"/>
        </w:rPr>
        <w:t xml:space="preserve"> HSE</w:t>
      </w:r>
      <w:r w:rsidR="00EE409B" w:rsidRPr="00411CFF">
        <w:rPr>
          <w:rFonts w:ascii="Times New Roman" w:hAnsi="Times New Roman"/>
          <w:sz w:val="24"/>
          <w:szCs w:val="24"/>
          <w:lang w:val="en-US" w:eastAsia="ru-RU"/>
        </w:rPr>
        <w:t>’s</w:t>
      </w:r>
      <w:r w:rsidR="00F40E64" w:rsidRPr="00411CFF">
        <w:rPr>
          <w:rFonts w:ascii="Times New Roman" w:hAnsi="Times New Roman"/>
          <w:sz w:val="24"/>
          <w:szCs w:val="24"/>
          <w:lang w:val="en-US" w:eastAsia="ru-RU"/>
        </w:rPr>
        <w:t xml:space="preserve"> </w:t>
      </w:r>
      <w:r w:rsidR="005F0E34" w:rsidRPr="00411CFF">
        <w:rPr>
          <w:rFonts w:ascii="Times New Roman" w:hAnsi="Times New Roman"/>
          <w:sz w:val="24"/>
          <w:szCs w:val="24"/>
          <w:lang w:val="en-US" w:eastAsia="ru-RU"/>
        </w:rPr>
        <w:t xml:space="preserve">global </w:t>
      </w:r>
      <w:r w:rsidR="00F40E64" w:rsidRPr="00411CFF">
        <w:rPr>
          <w:rFonts w:ascii="Times New Roman" w:hAnsi="Times New Roman"/>
          <w:sz w:val="24"/>
          <w:szCs w:val="24"/>
          <w:lang w:val="en-US" w:eastAsia="ru-RU"/>
        </w:rPr>
        <w:t xml:space="preserve">brand awareness by 14%. </w:t>
      </w:r>
    </w:p>
    <w:p w14:paraId="1FACF436" w14:textId="0D79E03B" w:rsidR="00F40E64" w:rsidRPr="00411CFF" w:rsidRDefault="002F4010" w:rsidP="0051131B">
      <w:pPr>
        <w:spacing w:after="0" w:line="312" w:lineRule="auto"/>
        <w:ind w:firstLine="709"/>
        <w:contextualSpacing/>
        <w:jc w:val="both"/>
        <w:rPr>
          <w:rFonts w:ascii="Times New Roman" w:eastAsia="Arial Unicode MS" w:hAnsi="Times New Roman"/>
          <w:color w:val="000000"/>
          <w:sz w:val="24"/>
          <w:szCs w:val="24"/>
          <w:u w:color="000000"/>
          <w:lang w:val="en-US"/>
        </w:rPr>
      </w:pPr>
      <w:r>
        <w:rPr>
          <w:rFonts w:ascii="Times New Roman" w:eastAsia="Arial Unicode MS" w:hAnsi="Times New Roman"/>
          <w:color w:val="000000"/>
          <w:sz w:val="24"/>
          <w:szCs w:val="24"/>
          <w:u w:color="000000"/>
          <w:lang w:val="en-US"/>
        </w:rPr>
        <w:t>In 2016, as part of the</w:t>
      </w:r>
      <w:r w:rsidR="00695F6A" w:rsidRPr="00411CFF">
        <w:rPr>
          <w:rFonts w:ascii="Times New Roman" w:eastAsia="Arial Unicode MS" w:hAnsi="Times New Roman"/>
          <w:color w:val="000000"/>
          <w:sz w:val="24"/>
          <w:szCs w:val="24"/>
          <w:u w:color="000000"/>
          <w:lang w:val="en-US"/>
        </w:rPr>
        <w:t xml:space="preserve"> </w:t>
      </w:r>
      <w:r w:rsidR="00F40E64" w:rsidRPr="00411CFF">
        <w:rPr>
          <w:rFonts w:ascii="Times New Roman" w:eastAsia="Arial Unicode MS" w:hAnsi="Times New Roman"/>
          <w:color w:val="000000"/>
          <w:sz w:val="24"/>
          <w:szCs w:val="24"/>
          <w:u w:color="000000"/>
          <w:lang w:val="en-US"/>
        </w:rPr>
        <w:t>institutional partnerships</w:t>
      </w:r>
      <w:r w:rsidRPr="002F4010">
        <w:rPr>
          <w:rFonts w:ascii="Times New Roman" w:eastAsia="Arial Unicode MS" w:hAnsi="Times New Roman"/>
          <w:color w:val="000000"/>
          <w:sz w:val="24"/>
          <w:szCs w:val="24"/>
          <w:u w:color="000000"/>
          <w:lang w:val="en-US"/>
        </w:rPr>
        <w:t xml:space="preserve"> </w:t>
      </w:r>
      <w:r w:rsidRPr="00411CFF">
        <w:rPr>
          <w:rFonts w:ascii="Times New Roman" w:eastAsia="Arial Unicode MS" w:hAnsi="Times New Roman"/>
          <w:color w:val="000000"/>
          <w:sz w:val="24"/>
          <w:szCs w:val="24"/>
          <w:u w:color="000000"/>
          <w:lang w:val="en-US"/>
        </w:rPr>
        <w:t>programme</w:t>
      </w:r>
      <w:r w:rsidR="00F40E64" w:rsidRPr="00411CFF">
        <w:rPr>
          <w:rFonts w:ascii="Times New Roman" w:eastAsia="Arial Unicode MS" w:hAnsi="Times New Roman"/>
          <w:color w:val="000000"/>
          <w:sz w:val="24"/>
          <w:szCs w:val="24"/>
          <w:u w:color="000000"/>
          <w:lang w:val="en-US"/>
        </w:rPr>
        <w:t>, HSE signed 57 new cooperation agreement</w:t>
      </w:r>
      <w:r w:rsidR="00FA5C1B" w:rsidRPr="00411CFF">
        <w:rPr>
          <w:rFonts w:ascii="Times New Roman" w:eastAsia="Arial Unicode MS" w:hAnsi="Times New Roman"/>
          <w:color w:val="000000"/>
          <w:sz w:val="24"/>
          <w:szCs w:val="24"/>
          <w:u w:color="000000"/>
          <w:lang w:val="en-US"/>
        </w:rPr>
        <w:t>s</w:t>
      </w:r>
      <w:r w:rsidR="00F40E64" w:rsidRPr="00411CFF">
        <w:rPr>
          <w:rFonts w:ascii="Times New Roman" w:eastAsia="Arial Unicode MS" w:hAnsi="Times New Roman"/>
          <w:color w:val="000000"/>
          <w:sz w:val="24"/>
          <w:szCs w:val="24"/>
          <w:u w:color="000000"/>
          <w:lang w:val="en-US"/>
        </w:rPr>
        <w:t xml:space="preserve">, including 16 student exchange agreements and </w:t>
      </w:r>
      <w:r w:rsidR="00FA5C1B" w:rsidRPr="00411CFF">
        <w:rPr>
          <w:rFonts w:ascii="Times New Roman" w:eastAsia="Arial Unicode MS" w:hAnsi="Times New Roman"/>
          <w:color w:val="000000"/>
          <w:sz w:val="24"/>
          <w:szCs w:val="24"/>
          <w:u w:color="000000"/>
          <w:lang w:val="en-US"/>
        </w:rPr>
        <w:t xml:space="preserve">five </w:t>
      </w:r>
      <w:r w:rsidR="00F40E64" w:rsidRPr="00411CFF">
        <w:rPr>
          <w:rFonts w:ascii="Times New Roman" w:eastAsia="Arial Unicode MS" w:hAnsi="Times New Roman"/>
          <w:color w:val="000000"/>
          <w:sz w:val="24"/>
          <w:szCs w:val="24"/>
          <w:u w:color="000000"/>
          <w:lang w:val="en-US"/>
        </w:rPr>
        <w:t>d</w:t>
      </w:r>
      <w:r w:rsidR="004F135A">
        <w:rPr>
          <w:rFonts w:ascii="Times New Roman" w:eastAsia="Arial Unicode MS" w:hAnsi="Times New Roman"/>
          <w:color w:val="000000"/>
          <w:sz w:val="24"/>
          <w:szCs w:val="24"/>
          <w:u w:color="000000"/>
          <w:lang w:val="en-US"/>
        </w:rPr>
        <w:t>ual</w:t>
      </w:r>
      <w:r w:rsidR="00F40E64" w:rsidRPr="00411CFF">
        <w:rPr>
          <w:rFonts w:ascii="Times New Roman" w:eastAsia="Arial Unicode MS" w:hAnsi="Times New Roman"/>
          <w:color w:val="000000"/>
          <w:sz w:val="24"/>
          <w:szCs w:val="24"/>
          <w:u w:color="000000"/>
          <w:lang w:val="en-US"/>
        </w:rPr>
        <w:t xml:space="preserve">-degree agreements. </w:t>
      </w:r>
    </w:p>
    <w:p w14:paraId="49217516" w14:textId="49637376" w:rsidR="00F40E64" w:rsidRPr="00411CFF" w:rsidRDefault="004F135A" w:rsidP="0051131B">
      <w:pPr>
        <w:spacing w:after="0" w:line="312" w:lineRule="auto"/>
        <w:ind w:firstLine="709"/>
        <w:contextualSpacing/>
        <w:jc w:val="both"/>
        <w:rPr>
          <w:rFonts w:ascii="Times New Roman" w:eastAsia="Times New Roman" w:hAnsi="Times New Roman"/>
          <w:sz w:val="24"/>
          <w:szCs w:val="24"/>
          <w:lang w:val="en-US" w:eastAsia="ru-RU"/>
        </w:rPr>
      </w:pPr>
      <w:r>
        <w:rPr>
          <w:rFonts w:ascii="Times New Roman" w:hAnsi="Times New Roman"/>
          <w:sz w:val="24"/>
          <w:szCs w:val="24"/>
          <w:lang w:val="en-US" w:eastAsia="ru-RU"/>
        </w:rPr>
        <w:t xml:space="preserve">Due to </w:t>
      </w:r>
      <w:r w:rsidR="00F40E64" w:rsidRPr="00411CFF">
        <w:rPr>
          <w:rFonts w:ascii="Times New Roman" w:hAnsi="Times New Roman"/>
          <w:sz w:val="24"/>
          <w:szCs w:val="24"/>
          <w:lang w:val="en-US" w:eastAsia="ru-RU"/>
        </w:rPr>
        <w:t xml:space="preserve">improved communication with </w:t>
      </w:r>
      <w:r w:rsidR="002F4010">
        <w:rPr>
          <w:rFonts w:ascii="Times New Roman" w:hAnsi="Times New Roman"/>
          <w:sz w:val="24"/>
          <w:szCs w:val="24"/>
          <w:lang w:val="en-US" w:eastAsia="ru-RU"/>
        </w:rPr>
        <w:t>reputable</w:t>
      </w:r>
      <w:r w:rsidR="00A413AB" w:rsidRPr="00411CFF">
        <w:rPr>
          <w:rFonts w:ascii="Times New Roman" w:hAnsi="Times New Roman"/>
          <w:sz w:val="24"/>
          <w:szCs w:val="24"/>
          <w:lang w:val="en-US" w:eastAsia="ru-RU"/>
        </w:rPr>
        <w:t xml:space="preserve"> </w:t>
      </w:r>
      <w:r w:rsidR="00F40E64" w:rsidRPr="00411CFF">
        <w:rPr>
          <w:rFonts w:ascii="Times New Roman" w:hAnsi="Times New Roman"/>
          <w:sz w:val="24"/>
          <w:szCs w:val="24"/>
          <w:lang w:val="en-US" w:eastAsia="ru-RU"/>
        </w:rPr>
        <w:t>media</w:t>
      </w:r>
      <w:r w:rsidR="002F4010">
        <w:rPr>
          <w:rFonts w:ascii="Times New Roman" w:hAnsi="Times New Roman"/>
          <w:sz w:val="24"/>
          <w:szCs w:val="24"/>
          <w:lang w:val="en-US" w:eastAsia="ru-RU"/>
        </w:rPr>
        <w:t xml:space="preserve"> sources</w:t>
      </w:r>
      <w:r w:rsidR="00A413AB" w:rsidRPr="00411CFF">
        <w:rPr>
          <w:rFonts w:ascii="Times New Roman" w:hAnsi="Times New Roman"/>
          <w:sz w:val="24"/>
          <w:szCs w:val="24"/>
          <w:lang w:val="en-US" w:eastAsia="ru-RU"/>
        </w:rPr>
        <w:t xml:space="preserve"> around the world</w:t>
      </w:r>
      <w:r w:rsidR="00F40E64" w:rsidRPr="00411CFF">
        <w:rPr>
          <w:rFonts w:ascii="Times New Roman" w:hAnsi="Times New Roman"/>
          <w:sz w:val="24"/>
          <w:szCs w:val="24"/>
          <w:lang w:val="en-US" w:eastAsia="ru-RU"/>
        </w:rPr>
        <w:t xml:space="preserve">, the number of international publications </w:t>
      </w:r>
      <w:r w:rsidR="00A413AB" w:rsidRPr="00411CFF">
        <w:rPr>
          <w:rFonts w:ascii="Times New Roman" w:hAnsi="Times New Roman"/>
          <w:sz w:val="24"/>
          <w:szCs w:val="24"/>
          <w:lang w:val="en-US" w:eastAsia="ru-RU"/>
        </w:rPr>
        <w:t>making reference to</w:t>
      </w:r>
      <w:r w:rsidR="00F40E64" w:rsidRPr="00411CFF">
        <w:rPr>
          <w:rFonts w:ascii="Times New Roman" w:hAnsi="Times New Roman"/>
          <w:sz w:val="24"/>
          <w:szCs w:val="24"/>
          <w:lang w:val="en-US" w:eastAsia="ru-RU"/>
        </w:rPr>
        <w:t xml:space="preserve"> HSE has increased</w:t>
      </w:r>
      <w:r w:rsidR="00A413AB" w:rsidRPr="00411CFF">
        <w:rPr>
          <w:rFonts w:ascii="Times New Roman" w:hAnsi="Times New Roman"/>
          <w:sz w:val="24"/>
          <w:szCs w:val="24"/>
          <w:lang w:val="en-US" w:eastAsia="ru-RU"/>
        </w:rPr>
        <w:t xml:space="preserve">. </w:t>
      </w:r>
      <w:r>
        <w:rPr>
          <w:rFonts w:ascii="Times New Roman" w:hAnsi="Times New Roman"/>
          <w:sz w:val="24"/>
          <w:szCs w:val="24"/>
          <w:lang w:val="en-US" w:eastAsia="ru-RU"/>
        </w:rPr>
        <w:t>I</w:t>
      </w:r>
      <w:r w:rsidR="00A413AB" w:rsidRPr="00411CFF">
        <w:rPr>
          <w:rFonts w:ascii="Times New Roman" w:hAnsi="Times New Roman"/>
          <w:sz w:val="24"/>
          <w:szCs w:val="24"/>
          <w:lang w:val="en-US" w:eastAsia="ru-RU"/>
        </w:rPr>
        <w:t>n</w:t>
      </w:r>
      <w:r w:rsidR="00F40E64" w:rsidRPr="00411CFF">
        <w:rPr>
          <w:rFonts w:ascii="Times New Roman" w:hAnsi="Times New Roman"/>
          <w:sz w:val="24"/>
          <w:szCs w:val="24"/>
          <w:lang w:val="en-US" w:eastAsia="ru-RU"/>
        </w:rPr>
        <w:t xml:space="preserve"> 2016</w:t>
      </w:r>
      <w:r>
        <w:rPr>
          <w:rFonts w:ascii="Times New Roman" w:hAnsi="Times New Roman"/>
          <w:sz w:val="24"/>
          <w:szCs w:val="24"/>
          <w:lang w:val="en-US" w:eastAsia="ru-RU"/>
        </w:rPr>
        <w:t xml:space="preserve"> only</w:t>
      </w:r>
      <w:r w:rsidR="00F40E64" w:rsidRPr="00411CFF">
        <w:rPr>
          <w:rFonts w:ascii="Times New Roman" w:hAnsi="Times New Roman"/>
          <w:sz w:val="24"/>
          <w:szCs w:val="24"/>
          <w:lang w:val="en-US" w:eastAsia="ru-RU"/>
        </w:rPr>
        <w:t>, over 9,000 articles acknowledg</w:t>
      </w:r>
      <w:r w:rsidR="00A413AB" w:rsidRPr="00411CFF">
        <w:rPr>
          <w:rFonts w:ascii="Times New Roman" w:hAnsi="Times New Roman"/>
          <w:sz w:val="24"/>
          <w:szCs w:val="24"/>
          <w:lang w:val="en-US" w:eastAsia="ru-RU"/>
        </w:rPr>
        <w:t>ing</w:t>
      </w:r>
      <w:r w:rsidR="00F40E64" w:rsidRPr="00411CFF">
        <w:rPr>
          <w:rFonts w:ascii="Times New Roman" w:hAnsi="Times New Roman"/>
          <w:sz w:val="24"/>
          <w:szCs w:val="24"/>
          <w:lang w:val="en-US" w:eastAsia="ru-RU"/>
        </w:rPr>
        <w:t xml:space="preserve"> the </w:t>
      </w:r>
      <w:r w:rsidR="00A413AB" w:rsidRPr="00411CFF">
        <w:rPr>
          <w:rFonts w:ascii="Times New Roman" w:hAnsi="Times New Roman"/>
          <w:sz w:val="24"/>
          <w:szCs w:val="24"/>
          <w:lang w:val="en-US" w:eastAsia="ru-RU"/>
        </w:rPr>
        <w:t xml:space="preserve">university’s </w:t>
      </w:r>
      <w:r w:rsidR="00F40E64" w:rsidRPr="00411CFF">
        <w:rPr>
          <w:rFonts w:ascii="Times New Roman" w:hAnsi="Times New Roman"/>
          <w:sz w:val="24"/>
          <w:szCs w:val="24"/>
          <w:lang w:val="en-US" w:eastAsia="ru-RU"/>
        </w:rPr>
        <w:t>expert, research and educational efforts were published.</w:t>
      </w:r>
    </w:p>
    <w:p w14:paraId="2395B30C" w14:textId="0616C85D" w:rsidR="00F40E64" w:rsidRPr="00DE19F1" w:rsidRDefault="002F4010" w:rsidP="0051131B">
      <w:pPr>
        <w:spacing w:after="0" w:line="312" w:lineRule="auto"/>
        <w:ind w:firstLine="709"/>
        <w:contextualSpacing/>
        <w:jc w:val="both"/>
      </w:pPr>
      <w:r>
        <w:rPr>
          <w:rFonts w:ascii="Times New Roman" w:eastAsia="Times New Roman" w:hAnsi="Times New Roman"/>
          <w:sz w:val="24"/>
          <w:szCs w:val="24"/>
          <w:lang w:val="en-US" w:eastAsia="ru-RU"/>
        </w:rPr>
        <w:t xml:space="preserve">The </w:t>
      </w:r>
      <w:r w:rsidR="00F40E64" w:rsidRPr="00411CFF">
        <w:rPr>
          <w:rFonts w:ascii="Times New Roman" w:eastAsia="Times New Roman" w:hAnsi="Times New Roman"/>
          <w:sz w:val="24"/>
          <w:szCs w:val="24"/>
          <w:lang w:val="en-US" w:eastAsia="ru-RU"/>
        </w:rPr>
        <w:t xml:space="preserve">HSE </w:t>
      </w:r>
      <w:r w:rsidR="005B2F2C" w:rsidRPr="00411CFF">
        <w:rPr>
          <w:rFonts w:ascii="Times New Roman" w:eastAsia="Times New Roman" w:hAnsi="Times New Roman"/>
          <w:sz w:val="24"/>
          <w:szCs w:val="24"/>
          <w:lang w:val="en-US" w:eastAsia="ru-RU"/>
        </w:rPr>
        <w:t xml:space="preserve">official </w:t>
      </w:r>
      <w:r w:rsidR="00F40E64" w:rsidRPr="00411CFF">
        <w:rPr>
          <w:rFonts w:ascii="Times New Roman" w:eastAsia="Times New Roman" w:hAnsi="Times New Roman"/>
          <w:sz w:val="24"/>
          <w:szCs w:val="24"/>
          <w:lang w:val="en-US" w:eastAsia="ru-RU"/>
        </w:rPr>
        <w:t>website has been up</w:t>
      </w:r>
      <w:r>
        <w:rPr>
          <w:rFonts w:ascii="Times New Roman" w:eastAsia="Times New Roman" w:hAnsi="Times New Roman"/>
          <w:sz w:val="24"/>
          <w:szCs w:val="24"/>
          <w:lang w:val="en-US" w:eastAsia="ru-RU"/>
        </w:rPr>
        <w:t>dat</w:t>
      </w:r>
      <w:r w:rsidR="00F40E64" w:rsidRPr="00411CFF">
        <w:rPr>
          <w:rFonts w:ascii="Times New Roman" w:eastAsia="Times New Roman" w:hAnsi="Times New Roman"/>
          <w:sz w:val="24"/>
          <w:szCs w:val="24"/>
          <w:lang w:val="en-US" w:eastAsia="ru-RU"/>
        </w:rPr>
        <w:t xml:space="preserve">ed </w:t>
      </w:r>
      <w:r w:rsidR="006A29F9">
        <w:rPr>
          <w:rFonts w:ascii="Times New Roman" w:eastAsia="Times New Roman" w:hAnsi="Times New Roman"/>
          <w:sz w:val="24"/>
          <w:szCs w:val="24"/>
          <w:lang w:val="en-US" w:eastAsia="ru-RU"/>
        </w:rPr>
        <w:t>to improve</w:t>
      </w:r>
      <w:r w:rsidR="00F40E64" w:rsidRPr="00411CFF">
        <w:rPr>
          <w:rFonts w:ascii="Times New Roman" w:eastAsia="Times New Roman" w:hAnsi="Times New Roman"/>
          <w:sz w:val="24"/>
          <w:szCs w:val="24"/>
          <w:lang w:val="en-US" w:eastAsia="ru-RU"/>
        </w:rPr>
        <w:t xml:space="preserve"> its design and services</w:t>
      </w:r>
      <w:r w:rsidR="00B84E86">
        <w:rPr>
          <w:rFonts w:ascii="Times New Roman" w:eastAsia="Times New Roman" w:hAnsi="Times New Roman"/>
          <w:sz w:val="24"/>
          <w:szCs w:val="24"/>
          <w:lang w:val="en-US" w:eastAsia="ru-RU"/>
        </w:rPr>
        <w:t>: there is</w:t>
      </w:r>
      <w:r w:rsidR="00D72FEB" w:rsidRPr="00411CFF">
        <w:rPr>
          <w:rFonts w:ascii="Times New Roman" w:eastAsia="Times New Roman" w:hAnsi="Times New Roman"/>
          <w:sz w:val="24"/>
          <w:szCs w:val="24"/>
          <w:lang w:val="en-US" w:eastAsia="ru-RU"/>
        </w:rPr>
        <w:t xml:space="preserve"> a</w:t>
      </w:r>
      <w:r w:rsidR="00F40E64" w:rsidRPr="00411CFF">
        <w:rPr>
          <w:rFonts w:ascii="Times New Roman" w:eastAsia="Times New Roman" w:hAnsi="Times New Roman"/>
          <w:sz w:val="24"/>
          <w:szCs w:val="24"/>
          <w:lang w:val="en-US" w:eastAsia="ru-RU"/>
        </w:rPr>
        <w:t xml:space="preserve"> new database for collecting online applications </w:t>
      </w:r>
      <w:r w:rsidR="00B8545F" w:rsidRPr="00411CFF">
        <w:rPr>
          <w:rFonts w:ascii="Times New Roman" w:eastAsia="Times New Roman" w:hAnsi="Times New Roman"/>
          <w:sz w:val="24"/>
          <w:szCs w:val="24"/>
          <w:lang w:val="en-US" w:eastAsia="ru-RU"/>
        </w:rPr>
        <w:t>from international</w:t>
      </w:r>
      <w:r w:rsidR="00F40E64" w:rsidRPr="00411CFF">
        <w:rPr>
          <w:rFonts w:ascii="Times New Roman" w:eastAsia="Times New Roman" w:hAnsi="Times New Roman"/>
          <w:sz w:val="24"/>
          <w:szCs w:val="24"/>
          <w:lang w:val="en-US" w:eastAsia="ru-RU"/>
        </w:rPr>
        <w:t xml:space="preserve"> students</w:t>
      </w:r>
      <w:r w:rsidR="00B84E86">
        <w:rPr>
          <w:rFonts w:ascii="Times New Roman" w:eastAsia="Times New Roman" w:hAnsi="Times New Roman"/>
          <w:sz w:val="24"/>
          <w:szCs w:val="24"/>
          <w:lang w:val="en-US" w:eastAsia="ru-RU"/>
        </w:rPr>
        <w:t>;</w:t>
      </w:r>
      <w:r w:rsidR="000F34FD" w:rsidRPr="00411CFF">
        <w:rPr>
          <w:rFonts w:ascii="Times New Roman" w:eastAsia="Times New Roman" w:hAnsi="Times New Roman"/>
          <w:sz w:val="24"/>
          <w:szCs w:val="24"/>
          <w:lang w:val="en-US" w:eastAsia="ru-RU"/>
        </w:rPr>
        <w:t xml:space="preserve"> </w:t>
      </w:r>
      <w:r w:rsidR="00B84E86">
        <w:rPr>
          <w:rFonts w:ascii="Times New Roman" w:eastAsia="Times New Roman" w:hAnsi="Times New Roman"/>
          <w:sz w:val="24"/>
          <w:szCs w:val="24"/>
          <w:lang w:val="en-US" w:eastAsia="ru-RU"/>
        </w:rPr>
        <w:t>w</w:t>
      </w:r>
      <w:r w:rsidR="000F34FD" w:rsidRPr="00411CFF">
        <w:rPr>
          <w:rFonts w:ascii="Times New Roman" w:eastAsia="Times New Roman" w:hAnsi="Times New Roman"/>
          <w:sz w:val="24"/>
          <w:szCs w:val="24"/>
          <w:lang w:val="en-US" w:eastAsia="ru-RU"/>
        </w:rPr>
        <w:t>ebpages</w:t>
      </w:r>
      <w:r w:rsidR="00F40E64" w:rsidRPr="00411CFF">
        <w:rPr>
          <w:rFonts w:ascii="Times New Roman" w:eastAsia="Times New Roman" w:hAnsi="Times New Roman"/>
          <w:sz w:val="24"/>
          <w:szCs w:val="24"/>
          <w:lang w:val="en-US" w:eastAsia="ru-RU"/>
        </w:rPr>
        <w:t xml:space="preserve"> dedicated to educational programmes delivered in English </w:t>
      </w:r>
      <w:r w:rsidR="00B8545F" w:rsidRPr="00411CFF">
        <w:rPr>
          <w:rFonts w:ascii="Times New Roman" w:eastAsia="Times New Roman" w:hAnsi="Times New Roman"/>
          <w:sz w:val="24"/>
          <w:szCs w:val="24"/>
          <w:lang w:val="en-US" w:eastAsia="ru-RU"/>
        </w:rPr>
        <w:t xml:space="preserve">were </w:t>
      </w:r>
      <w:r>
        <w:rPr>
          <w:rFonts w:ascii="Times New Roman" w:eastAsia="Times New Roman" w:hAnsi="Times New Roman"/>
          <w:sz w:val="24"/>
          <w:szCs w:val="24"/>
          <w:lang w:val="en-US" w:eastAsia="ru-RU"/>
        </w:rPr>
        <w:t>improv</w:t>
      </w:r>
      <w:r w:rsidRPr="00411CFF">
        <w:rPr>
          <w:rFonts w:ascii="Times New Roman" w:eastAsia="Times New Roman" w:hAnsi="Times New Roman"/>
          <w:sz w:val="24"/>
          <w:szCs w:val="24"/>
          <w:lang w:val="en-US" w:eastAsia="ru-RU"/>
        </w:rPr>
        <w:t>ed</w:t>
      </w:r>
      <w:r w:rsidR="000F34FD" w:rsidRPr="00411CFF">
        <w:rPr>
          <w:rFonts w:ascii="Times New Roman" w:eastAsia="Times New Roman" w:hAnsi="Times New Roman"/>
          <w:sz w:val="24"/>
          <w:szCs w:val="24"/>
          <w:lang w:val="en-US" w:eastAsia="ru-RU"/>
        </w:rPr>
        <w:t xml:space="preserve">, </w:t>
      </w:r>
      <w:r w:rsidR="00B84E86">
        <w:rPr>
          <w:rFonts w:ascii="Times New Roman" w:eastAsia="Times New Roman" w:hAnsi="Times New Roman"/>
          <w:sz w:val="24"/>
          <w:szCs w:val="24"/>
          <w:lang w:val="en-US" w:eastAsia="ru-RU"/>
        </w:rPr>
        <w:t>and</w:t>
      </w:r>
      <w:r w:rsidR="00B84E86" w:rsidRPr="00411CFF">
        <w:rPr>
          <w:rFonts w:ascii="Times New Roman" w:eastAsia="Times New Roman" w:hAnsi="Times New Roman"/>
          <w:sz w:val="24"/>
          <w:szCs w:val="24"/>
          <w:lang w:val="en-US" w:eastAsia="ru-RU"/>
        </w:rPr>
        <w:t xml:space="preserve"> </w:t>
      </w:r>
      <w:r w:rsidR="000F34FD" w:rsidRPr="00411CFF">
        <w:rPr>
          <w:rFonts w:ascii="Times New Roman" w:eastAsia="Times New Roman" w:hAnsi="Times New Roman"/>
          <w:sz w:val="24"/>
          <w:szCs w:val="24"/>
          <w:lang w:val="en-US" w:eastAsia="ru-RU"/>
        </w:rPr>
        <w:t>individual</w:t>
      </w:r>
      <w:r w:rsidR="00F40E64" w:rsidRPr="00411CFF">
        <w:rPr>
          <w:rFonts w:ascii="Times New Roman" w:eastAsia="Times New Roman" w:hAnsi="Times New Roman"/>
          <w:sz w:val="24"/>
          <w:szCs w:val="24"/>
          <w:lang w:val="en-US" w:eastAsia="ru-RU"/>
        </w:rPr>
        <w:t xml:space="preserve"> English</w:t>
      </w:r>
      <w:r w:rsidR="000F34FD" w:rsidRPr="00411CFF">
        <w:rPr>
          <w:rFonts w:ascii="Times New Roman" w:eastAsia="Times New Roman" w:hAnsi="Times New Roman"/>
          <w:sz w:val="24"/>
          <w:szCs w:val="24"/>
          <w:lang w:val="en-US" w:eastAsia="ru-RU"/>
        </w:rPr>
        <w:t>-language</w:t>
      </w:r>
      <w:r w:rsidR="00F40E64" w:rsidRPr="00411CFF">
        <w:rPr>
          <w:rFonts w:ascii="Times New Roman" w:eastAsia="Times New Roman" w:hAnsi="Times New Roman"/>
          <w:sz w:val="24"/>
          <w:szCs w:val="24"/>
          <w:lang w:val="en-US" w:eastAsia="ru-RU"/>
        </w:rPr>
        <w:t xml:space="preserve"> website</w:t>
      </w:r>
      <w:r w:rsidR="000F34FD" w:rsidRPr="00411CFF">
        <w:rPr>
          <w:rFonts w:ascii="Times New Roman" w:eastAsia="Times New Roman" w:hAnsi="Times New Roman"/>
          <w:sz w:val="24"/>
          <w:szCs w:val="24"/>
          <w:lang w:val="en-US" w:eastAsia="ru-RU"/>
        </w:rPr>
        <w:t>s</w:t>
      </w:r>
      <w:r w:rsidR="00F40E64" w:rsidRPr="00411CFF">
        <w:rPr>
          <w:rFonts w:ascii="Times New Roman" w:eastAsia="Times New Roman" w:hAnsi="Times New Roman"/>
          <w:sz w:val="24"/>
          <w:szCs w:val="24"/>
          <w:lang w:val="en-US" w:eastAsia="ru-RU"/>
        </w:rPr>
        <w:t xml:space="preserve"> for </w:t>
      </w:r>
      <w:r w:rsidR="000F34FD" w:rsidRPr="00411CFF">
        <w:rPr>
          <w:rFonts w:ascii="Times New Roman" w:eastAsia="Times New Roman" w:hAnsi="Times New Roman"/>
          <w:sz w:val="24"/>
          <w:szCs w:val="24"/>
          <w:lang w:val="en-US" w:eastAsia="ru-RU"/>
        </w:rPr>
        <w:t>the university</w:t>
      </w:r>
      <w:r w:rsidR="00390D3A" w:rsidRPr="00411CFF">
        <w:rPr>
          <w:rFonts w:ascii="Times New Roman" w:eastAsia="Times New Roman" w:hAnsi="Times New Roman"/>
          <w:sz w:val="24"/>
          <w:szCs w:val="24"/>
          <w:lang w:val="en-US" w:eastAsia="ru-RU"/>
        </w:rPr>
        <w:t>’s</w:t>
      </w:r>
      <w:r w:rsidR="000F34FD" w:rsidRPr="00411CFF">
        <w:rPr>
          <w:rFonts w:ascii="Times New Roman" w:eastAsia="Times New Roman" w:hAnsi="Times New Roman"/>
          <w:sz w:val="24"/>
          <w:szCs w:val="24"/>
          <w:lang w:val="en-US" w:eastAsia="ru-RU"/>
        </w:rPr>
        <w:t xml:space="preserve"> </w:t>
      </w:r>
      <w:r w:rsidR="00F40E64" w:rsidRPr="00411CFF">
        <w:rPr>
          <w:rFonts w:ascii="Times New Roman" w:eastAsia="Times New Roman" w:hAnsi="Times New Roman"/>
          <w:sz w:val="24"/>
          <w:szCs w:val="24"/>
          <w:lang w:val="en-US" w:eastAsia="ru-RU"/>
        </w:rPr>
        <w:t xml:space="preserve">STRA-Us </w:t>
      </w:r>
      <w:r w:rsidR="000F34FD" w:rsidRPr="00411CFF">
        <w:rPr>
          <w:rFonts w:ascii="Times New Roman" w:eastAsia="Times New Roman" w:hAnsi="Times New Roman"/>
          <w:sz w:val="24"/>
          <w:szCs w:val="24"/>
          <w:lang w:val="en-US" w:eastAsia="ru-RU"/>
        </w:rPr>
        <w:t xml:space="preserve">were </w:t>
      </w:r>
      <w:r w:rsidR="00F40E64" w:rsidRPr="00411CFF">
        <w:rPr>
          <w:rFonts w:ascii="Times New Roman" w:eastAsia="Times New Roman" w:hAnsi="Times New Roman"/>
          <w:sz w:val="24"/>
          <w:szCs w:val="24"/>
          <w:lang w:val="en-US" w:eastAsia="ru-RU"/>
        </w:rPr>
        <w:t>launched</w:t>
      </w:r>
      <w:r w:rsidR="000F34FD" w:rsidRPr="00411CFF">
        <w:rPr>
          <w:rFonts w:ascii="Times New Roman" w:eastAsia="Times New Roman" w:hAnsi="Times New Roman"/>
          <w:sz w:val="24"/>
          <w:szCs w:val="24"/>
          <w:lang w:val="en-US" w:eastAsia="ru-RU"/>
        </w:rPr>
        <w:t xml:space="preserve">. </w:t>
      </w:r>
      <w:r w:rsidR="00390D3A" w:rsidRPr="00411CFF">
        <w:rPr>
          <w:rFonts w:ascii="Times New Roman" w:eastAsia="Times New Roman" w:hAnsi="Times New Roman"/>
          <w:sz w:val="24"/>
          <w:szCs w:val="24"/>
          <w:lang w:val="en-US" w:eastAsia="ru-RU"/>
        </w:rPr>
        <w:t>Overall, t</w:t>
      </w:r>
      <w:r w:rsidR="000F34FD" w:rsidRPr="00411CFF">
        <w:rPr>
          <w:rFonts w:ascii="Times New Roman" w:eastAsia="Times New Roman" w:hAnsi="Times New Roman"/>
          <w:sz w:val="24"/>
          <w:szCs w:val="24"/>
          <w:lang w:val="en-US" w:eastAsia="ru-RU"/>
        </w:rPr>
        <w:t xml:space="preserve">he </w:t>
      </w:r>
      <w:r w:rsidR="00F40E64" w:rsidRPr="00411CFF">
        <w:rPr>
          <w:rFonts w:ascii="Times New Roman" w:eastAsia="Times New Roman" w:hAnsi="Times New Roman"/>
          <w:sz w:val="24"/>
          <w:szCs w:val="24"/>
          <w:lang w:val="en-US" w:eastAsia="ru-RU"/>
        </w:rPr>
        <w:t xml:space="preserve">number of original materials published on the website in English has increased. </w:t>
      </w:r>
      <w:r w:rsidR="00B84E86">
        <w:rPr>
          <w:rFonts w:ascii="Times New Roman" w:eastAsia="Times New Roman" w:hAnsi="Times New Roman"/>
          <w:sz w:val="24"/>
          <w:szCs w:val="24"/>
          <w:lang w:val="en-US" w:eastAsia="ru-RU"/>
        </w:rPr>
        <w:t>Also</w:t>
      </w:r>
      <w:r w:rsidR="00F40E64" w:rsidRPr="00411CFF">
        <w:rPr>
          <w:rFonts w:ascii="Times New Roman" w:eastAsia="Times New Roman" w:hAnsi="Times New Roman"/>
          <w:sz w:val="24"/>
          <w:szCs w:val="24"/>
          <w:lang w:val="en-US" w:eastAsia="ru-RU"/>
        </w:rPr>
        <w:t xml:space="preserve">, Master’s programmes and online </w:t>
      </w:r>
      <w:r w:rsidR="00F40E64" w:rsidRPr="00411CFF">
        <w:rPr>
          <w:rFonts w:ascii="Times New Roman" w:eastAsia="Times New Roman" w:hAnsi="Times New Roman"/>
          <w:sz w:val="24"/>
          <w:szCs w:val="24"/>
          <w:lang w:val="en-US" w:eastAsia="ru-RU"/>
        </w:rPr>
        <w:lastRenderedPageBreak/>
        <w:t xml:space="preserve">education products are now being promoted through external websites, </w:t>
      </w:r>
      <w:r w:rsidR="00390D3A" w:rsidRPr="00411CFF">
        <w:rPr>
          <w:rFonts w:ascii="Times New Roman" w:eastAsia="Times New Roman" w:hAnsi="Times New Roman"/>
          <w:sz w:val="24"/>
          <w:szCs w:val="24"/>
          <w:lang w:val="en-US" w:eastAsia="ru-RU"/>
        </w:rPr>
        <w:t xml:space="preserve">thanks to </w:t>
      </w:r>
      <w:r w:rsidR="00F40E64" w:rsidRPr="00411CFF">
        <w:rPr>
          <w:rFonts w:ascii="Times New Roman" w:eastAsia="Times New Roman" w:hAnsi="Times New Roman"/>
          <w:sz w:val="24"/>
          <w:szCs w:val="24"/>
          <w:lang w:val="en-US" w:eastAsia="ru-RU"/>
        </w:rPr>
        <w:t>international partnerships and academic events.</w:t>
      </w:r>
    </w:p>
    <w:p w14:paraId="410295F9" w14:textId="77777777" w:rsidR="008C06DF" w:rsidRPr="00F40E64" w:rsidRDefault="008C06DF" w:rsidP="0051131B">
      <w:pPr>
        <w:spacing w:after="0"/>
        <w:ind w:firstLine="709"/>
        <w:jc w:val="both"/>
        <w:rPr>
          <w:rFonts w:ascii="Times New Roman" w:hAnsi="Times New Roman"/>
          <w:sz w:val="24"/>
          <w:szCs w:val="24"/>
        </w:rPr>
      </w:pPr>
    </w:p>
    <w:sectPr w:rsidR="008C06DF" w:rsidRPr="00F40E64" w:rsidSect="006F4AC1">
      <w:footerReference w:type="default" r:id="rId9"/>
      <w:pgSz w:w="11906" w:h="16838"/>
      <w:pgMar w:top="993" w:right="850" w:bottom="1134"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CBC3A" w14:textId="77777777" w:rsidR="001E0B94" w:rsidRDefault="001E0B94" w:rsidP="00D31BEB">
      <w:pPr>
        <w:spacing w:after="0" w:line="240" w:lineRule="auto"/>
      </w:pPr>
      <w:r>
        <w:separator/>
      </w:r>
    </w:p>
  </w:endnote>
  <w:endnote w:type="continuationSeparator" w:id="0">
    <w:p w14:paraId="621FB96D" w14:textId="77777777" w:rsidR="001E0B94" w:rsidRDefault="001E0B94" w:rsidP="00D3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9333" w14:textId="77777777" w:rsidR="001E0B94" w:rsidRDefault="001E0B94">
    <w:pPr>
      <w:pStyle w:val="a8"/>
      <w:jc w:val="right"/>
    </w:pPr>
    <w:r>
      <w:fldChar w:fldCharType="begin"/>
    </w:r>
    <w:r>
      <w:instrText xml:space="preserve"> PAGE   \* MERGEFORMAT </w:instrText>
    </w:r>
    <w:r>
      <w:fldChar w:fldCharType="separate"/>
    </w:r>
    <w:r w:rsidR="00C82349">
      <w:rPr>
        <w:noProof/>
      </w:rPr>
      <w:t>6</w:t>
    </w:r>
    <w:r>
      <w:rPr>
        <w:noProof/>
      </w:rPr>
      <w:fldChar w:fldCharType="end"/>
    </w:r>
  </w:p>
  <w:p w14:paraId="643DF5D9" w14:textId="77777777" w:rsidR="001E0B94" w:rsidRDefault="001E0B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374B" w14:textId="77777777" w:rsidR="001E0B94" w:rsidRDefault="001E0B94" w:rsidP="00D31BEB">
      <w:pPr>
        <w:spacing w:after="0" w:line="240" w:lineRule="auto"/>
      </w:pPr>
      <w:r>
        <w:separator/>
      </w:r>
    </w:p>
  </w:footnote>
  <w:footnote w:type="continuationSeparator" w:id="0">
    <w:p w14:paraId="592A56BD" w14:textId="77777777" w:rsidR="001E0B94" w:rsidRDefault="001E0B94" w:rsidP="00D3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0EA"/>
    <w:multiLevelType w:val="hybridMultilevel"/>
    <w:tmpl w:val="8EA0199A"/>
    <w:lvl w:ilvl="0" w:tplc="7FB0E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F6173"/>
    <w:multiLevelType w:val="hybridMultilevel"/>
    <w:tmpl w:val="8EF4C10C"/>
    <w:lvl w:ilvl="0" w:tplc="7FB0E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A7495"/>
    <w:multiLevelType w:val="multilevel"/>
    <w:tmpl w:val="C79E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97AF6"/>
    <w:multiLevelType w:val="hybridMultilevel"/>
    <w:tmpl w:val="102CC776"/>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719D7"/>
    <w:multiLevelType w:val="hybridMultilevel"/>
    <w:tmpl w:val="15748B26"/>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CF615B"/>
    <w:multiLevelType w:val="hybridMultilevel"/>
    <w:tmpl w:val="473EA2F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1B7CC1"/>
    <w:multiLevelType w:val="hybridMultilevel"/>
    <w:tmpl w:val="9D74DC14"/>
    <w:lvl w:ilvl="0" w:tplc="67CEDE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80522EE"/>
    <w:multiLevelType w:val="hybridMultilevel"/>
    <w:tmpl w:val="6F6AC0CE"/>
    <w:lvl w:ilvl="0" w:tplc="853A8546">
      <w:start w:val="2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8C"/>
    <w:rsid w:val="00000F37"/>
    <w:rsid w:val="000024E3"/>
    <w:rsid w:val="00007636"/>
    <w:rsid w:val="00011342"/>
    <w:rsid w:val="00011898"/>
    <w:rsid w:val="00011C5B"/>
    <w:rsid w:val="00014D36"/>
    <w:rsid w:val="00021497"/>
    <w:rsid w:val="00021C14"/>
    <w:rsid w:val="0002237C"/>
    <w:rsid w:val="0002393D"/>
    <w:rsid w:val="000274C4"/>
    <w:rsid w:val="0003383E"/>
    <w:rsid w:val="00036DBA"/>
    <w:rsid w:val="00045E3D"/>
    <w:rsid w:val="0005027A"/>
    <w:rsid w:val="00056B76"/>
    <w:rsid w:val="00056D2B"/>
    <w:rsid w:val="0005715F"/>
    <w:rsid w:val="0005761F"/>
    <w:rsid w:val="000642F6"/>
    <w:rsid w:val="00064E2D"/>
    <w:rsid w:val="000764C9"/>
    <w:rsid w:val="00081DBA"/>
    <w:rsid w:val="00082BD2"/>
    <w:rsid w:val="0008310F"/>
    <w:rsid w:val="00085F74"/>
    <w:rsid w:val="000900A4"/>
    <w:rsid w:val="00091118"/>
    <w:rsid w:val="00093D87"/>
    <w:rsid w:val="00096EE1"/>
    <w:rsid w:val="000A0A69"/>
    <w:rsid w:val="000A73D7"/>
    <w:rsid w:val="000A7F1A"/>
    <w:rsid w:val="000C7B96"/>
    <w:rsid w:val="000C7F6B"/>
    <w:rsid w:val="000D0DD9"/>
    <w:rsid w:val="000D4C07"/>
    <w:rsid w:val="000E5026"/>
    <w:rsid w:val="000E62E3"/>
    <w:rsid w:val="000F0487"/>
    <w:rsid w:val="000F34FD"/>
    <w:rsid w:val="000F43D0"/>
    <w:rsid w:val="00101FF5"/>
    <w:rsid w:val="00106C6B"/>
    <w:rsid w:val="001076CE"/>
    <w:rsid w:val="001102F2"/>
    <w:rsid w:val="00112EF4"/>
    <w:rsid w:val="001154B6"/>
    <w:rsid w:val="00131185"/>
    <w:rsid w:val="0013198C"/>
    <w:rsid w:val="00133079"/>
    <w:rsid w:val="00137992"/>
    <w:rsid w:val="001405E6"/>
    <w:rsid w:val="00140E5C"/>
    <w:rsid w:val="00156A75"/>
    <w:rsid w:val="001629E0"/>
    <w:rsid w:val="00163475"/>
    <w:rsid w:val="00164CA5"/>
    <w:rsid w:val="0016640D"/>
    <w:rsid w:val="0017122F"/>
    <w:rsid w:val="0017195D"/>
    <w:rsid w:val="00171E87"/>
    <w:rsid w:val="00172089"/>
    <w:rsid w:val="00177393"/>
    <w:rsid w:val="001A0D72"/>
    <w:rsid w:val="001A134E"/>
    <w:rsid w:val="001A2DD0"/>
    <w:rsid w:val="001A3151"/>
    <w:rsid w:val="001A7794"/>
    <w:rsid w:val="001B716C"/>
    <w:rsid w:val="001C296A"/>
    <w:rsid w:val="001C2B40"/>
    <w:rsid w:val="001C2F85"/>
    <w:rsid w:val="001C57B4"/>
    <w:rsid w:val="001C58AC"/>
    <w:rsid w:val="001D1957"/>
    <w:rsid w:val="001D37B3"/>
    <w:rsid w:val="001D4452"/>
    <w:rsid w:val="001D523B"/>
    <w:rsid w:val="001D7C80"/>
    <w:rsid w:val="001E0B94"/>
    <w:rsid w:val="001E5B01"/>
    <w:rsid w:val="001E7429"/>
    <w:rsid w:val="001F1E82"/>
    <w:rsid w:val="00207098"/>
    <w:rsid w:val="002077A3"/>
    <w:rsid w:val="002117C9"/>
    <w:rsid w:val="00211FBA"/>
    <w:rsid w:val="00212DDC"/>
    <w:rsid w:val="002133CC"/>
    <w:rsid w:val="002134D7"/>
    <w:rsid w:val="00216FFD"/>
    <w:rsid w:val="002264E7"/>
    <w:rsid w:val="00231866"/>
    <w:rsid w:val="0023431B"/>
    <w:rsid w:val="0023700C"/>
    <w:rsid w:val="00241055"/>
    <w:rsid w:val="00241141"/>
    <w:rsid w:val="00241EB5"/>
    <w:rsid w:val="00247E4E"/>
    <w:rsid w:val="0025205A"/>
    <w:rsid w:val="0025693A"/>
    <w:rsid w:val="00261271"/>
    <w:rsid w:val="0026243D"/>
    <w:rsid w:val="002626EE"/>
    <w:rsid w:val="002646BE"/>
    <w:rsid w:val="00270C38"/>
    <w:rsid w:val="00271D32"/>
    <w:rsid w:val="00274367"/>
    <w:rsid w:val="00274DCE"/>
    <w:rsid w:val="002770AF"/>
    <w:rsid w:val="00280C5D"/>
    <w:rsid w:val="00285FEE"/>
    <w:rsid w:val="00286C5E"/>
    <w:rsid w:val="002871A7"/>
    <w:rsid w:val="0029484D"/>
    <w:rsid w:val="00294BE8"/>
    <w:rsid w:val="002966B7"/>
    <w:rsid w:val="0029760B"/>
    <w:rsid w:val="00297F18"/>
    <w:rsid w:val="002A3B09"/>
    <w:rsid w:val="002A40B8"/>
    <w:rsid w:val="002A63D9"/>
    <w:rsid w:val="002B28BB"/>
    <w:rsid w:val="002B39EF"/>
    <w:rsid w:val="002B42A8"/>
    <w:rsid w:val="002B5263"/>
    <w:rsid w:val="002B5CF8"/>
    <w:rsid w:val="002B7264"/>
    <w:rsid w:val="002C217B"/>
    <w:rsid w:val="002C3954"/>
    <w:rsid w:val="002C4B9D"/>
    <w:rsid w:val="002D0861"/>
    <w:rsid w:val="002D08EC"/>
    <w:rsid w:val="002D58A8"/>
    <w:rsid w:val="002D71AD"/>
    <w:rsid w:val="002E0A33"/>
    <w:rsid w:val="002E4818"/>
    <w:rsid w:val="002F150A"/>
    <w:rsid w:val="002F21FE"/>
    <w:rsid w:val="002F279B"/>
    <w:rsid w:val="002F4010"/>
    <w:rsid w:val="002F6D29"/>
    <w:rsid w:val="0030323A"/>
    <w:rsid w:val="00304F49"/>
    <w:rsid w:val="0030538A"/>
    <w:rsid w:val="00312E18"/>
    <w:rsid w:val="003142F0"/>
    <w:rsid w:val="00317133"/>
    <w:rsid w:val="00317522"/>
    <w:rsid w:val="00322D8D"/>
    <w:rsid w:val="003239A9"/>
    <w:rsid w:val="00324459"/>
    <w:rsid w:val="00327438"/>
    <w:rsid w:val="00327E8C"/>
    <w:rsid w:val="00331338"/>
    <w:rsid w:val="00332017"/>
    <w:rsid w:val="003336CF"/>
    <w:rsid w:val="00333701"/>
    <w:rsid w:val="00333A5F"/>
    <w:rsid w:val="003360C6"/>
    <w:rsid w:val="00337216"/>
    <w:rsid w:val="003419AE"/>
    <w:rsid w:val="00341AF0"/>
    <w:rsid w:val="00342856"/>
    <w:rsid w:val="00343B51"/>
    <w:rsid w:val="00343E94"/>
    <w:rsid w:val="00347B24"/>
    <w:rsid w:val="00347EB6"/>
    <w:rsid w:val="00352303"/>
    <w:rsid w:val="00352B46"/>
    <w:rsid w:val="00355577"/>
    <w:rsid w:val="00361F64"/>
    <w:rsid w:val="00362D98"/>
    <w:rsid w:val="003657A3"/>
    <w:rsid w:val="0036625C"/>
    <w:rsid w:val="00372E4B"/>
    <w:rsid w:val="00381961"/>
    <w:rsid w:val="00381E43"/>
    <w:rsid w:val="00386C03"/>
    <w:rsid w:val="00390D3A"/>
    <w:rsid w:val="00391FBD"/>
    <w:rsid w:val="00394B4F"/>
    <w:rsid w:val="003A09C0"/>
    <w:rsid w:val="003A1125"/>
    <w:rsid w:val="003A3C0E"/>
    <w:rsid w:val="003A480F"/>
    <w:rsid w:val="003A6E56"/>
    <w:rsid w:val="003B03BA"/>
    <w:rsid w:val="003B6BA5"/>
    <w:rsid w:val="003C2682"/>
    <w:rsid w:val="003C5339"/>
    <w:rsid w:val="003D46D5"/>
    <w:rsid w:val="003D70A2"/>
    <w:rsid w:val="003D72A0"/>
    <w:rsid w:val="003D7C78"/>
    <w:rsid w:val="003E09A4"/>
    <w:rsid w:val="003E4663"/>
    <w:rsid w:val="003E4F9C"/>
    <w:rsid w:val="003F186E"/>
    <w:rsid w:val="003F72AC"/>
    <w:rsid w:val="004028F7"/>
    <w:rsid w:val="00403A08"/>
    <w:rsid w:val="00411CFF"/>
    <w:rsid w:val="004127CB"/>
    <w:rsid w:val="004152F7"/>
    <w:rsid w:val="00416D25"/>
    <w:rsid w:val="0041786E"/>
    <w:rsid w:val="004224AF"/>
    <w:rsid w:val="0042489B"/>
    <w:rsid w:val="004248B9"/>
    <w:rsid w:val="004252AE"/>
    <w:rsid w:val="00427306"/>
    <w:rsid w:val="0042738A"/>
    <w:rsid w:val="004325A6"/>
    <w:rsid w:val="004348EE"/>
    <w:rsid w:val="004428D8"/>
    <w:rsid w:val="00442F69"/>
    <w:rsid w:val="00444711"/>
    <w:rsid w:val="004461C5"/>
    <w:rsid w:val="00446786"/>
    <w:rsid w:val="004509F9"/>
    <w:rsid w:val="00453F3C"/>
    <w:rsid w:val="004571C5"/>
    <w:rsid w:val="00460011"/>
    <w:rsid w:val="00466D18"/>
    <w:rsid w:val="00466EA1"/>
    <w:rsid w:val="00467AB1"/>
    <w:rsid w:val="004706CA"/>
    <w:rsid w:val="004729BA"/>
    <w:rsid w:val="0047372C"/>
    <w:rsid w:val="00482135"/>
    <w:rsid w:val="00483B9C"/>
    <w:rsid w:val="0049691A"/>
    <w:rsid w:val="0049786C"/>
    <w:rsid w:val="004A7C82"/>
    <w:rsid w:val="004B37A2"/>
    <w:rsid w:val="004B4E56"/>
    <w:rsid w:val="004C02C7"/>
    <w:rsid w:val="004C04FA"/>
    <w:rsid w:val="004C3099"/>
    <w:rsid w:val="004C3969"/>
    <w:rsid w:val="004C3C00"/>
    <w:rsid w:val="004C62B2"/>
    <w:rsid w:val="004E6366"/>
    <w:rsid w:val="004F135A"/>
    <w:rsid w:val="004F16D9"/>
    <w:rsid w:val="004F475C"/>
    <w:rsid w:val="00501231"/>
    <w:rsid w:val="005018D2"/>
    <w:rsid w:val="00502963"/>
    <w:rsid w:val="00505132"/>
    <w:rsid w:val="0051131B"/>
    <w:rsid w:val="005126AD"/>
    <w:rsid w:val="00513CCD"/>
    <w:rsid w:val="005142BD"/>
    <w:rsid w:val="00517919"/>
    <w:rsid w:val="00520E3F"/>
    <w:rsid w:val="00521245"/>
    <w:rsid w:val="00524432"/>
    <w:rsid w:val="0052459B"/>
    <w:rsid w:val="00527A35"/>
    <w:rsid w:val="00527C79"/>
    <w:rsid w:val="00531F7E"/>
    <w:rsid w:val="00532C16"/>
    <w:rsid w:val="0053747A"/>
    <w:rsid w:val="00543B03"/>
    <w:rsid w:val="00544D3B"/>
    <w:rsid w:val="0055290A"/>
    <w:rsid w:val="0055504A"/>
    <w:rsid w:val="00555C51"/>
    <w:rsid w:val="005565C0"/>
    <w:rsid w:val="0056287F"/>
    <w:rsid w:val="00562D43"/>
    <w:rsid w:val="00564D3C"/>
    <w:rsid w:val="00566715"/>
    <w:rsid w:val="00567123"/>
    <w:rsid w:val="005672FA"/>
    <w:rsid w:val="005704A0"/>
    <w:rsid w:val="005811F8"/>
    <w:rsid w:val="00581E90"/>
    <w:rsid w:val="00584431"/>
    <w:rsid w:val="00590647"/>
    <w:rsid w:val="00593799"/>
    <w:rsid w:val="005955CF"/>
    <w:rsid w:val="005A4329"/>
    <w:rsid w:val="005B1BA8"/>
    <w:rsid w:val="005B2F2C"/>
    <w:rsid w:val="005C0355"/>
    <w:rsid w:val="005C0B9A"/>
    <w:rsid w:val="005C2ED6"/>
    <w:rsid w:val="005C42E8"/>
    <w:rsid w:val="005C51D7"/>
    <w:rsid w:val="005C5AEA"/>
    <w:rsid w:val="005C6480"/>
    <w:rsid w:val="005D71FD"/>
    <w:rsid w:val="005D7296"/>
    <w:rsid w:val="005D7D1E"/>
    <w:rsid w:val="005E3C2A"/>
    <w:rsid w:val="005F0E34"/>
    <w:rsid w:val="005F72EC"/>
    <w:rsid w:val="00604BA3"/>
    <w:rsid w:val="00605EC6"/>
    <w:rsid w:val="00612F15"/>
    <w:rsid w:val="0061343C"/>
    <w:rsid w:val="00613A60"/>
    <w:rsid w:val="006214D8"/>
    <w:rsid w:val="006256D0"/>
    <w:rsid w:val="00625E92"/>
    <w:rsid w:val="00630835"/>
    <w:rsid w:val="00636E5B"/>
    <w:rsid w:val="00637F22"/>
    <w:rsid w:val="00645F12"/>
    <w:rsid w:val="00653B84"/>
    <w:rsid w:val="0066073D"/>
    <w:rsid w:val="00662A4F"/>
    <w:rsid w:val="00663109"/>
    <w:rsid w:val="00667191"/>
    <w:rsid w:val="006713DB"/>
    <w:rsid w:val="00673445"/>
    <w:rsid w:val="0067427E"/>
    <w:rsid w:val="00683FE6"/>
    <w:rsid w:val="00684303"/>
    <w:rsid w:val="00684C86"/>
    <w:rsid w:val="0068589D"/>
    <w:rsid w:val="00690693"/>
    <w:rsid w:val="00691836"/>
    <w:rsid w:val="00691F43"/>
    <w:rsid w:val="00693113"/>
    <w:rsid w:val="0069445E"/>
    <w:rsid w:val="00695F6A"/>
    <w:rsid w:val="00695FAC"/>
    <w:rsid w:val="00697EE5"/>
    <w:rsid w:val="006A237B"/>
    <w:rsid w:val="006A29F9"/>
    <w:rsid w:val="006A3C3C"/>
    <w:rsid w:val="006B24E5"/>
    <w:rsid w:val="006B4C80"/>
    <w:rsid w:val="006B745B"/>
    <w:rsid w:val="006C06DC"/>
    <w:rsid w:val="006C5D05"/>
    <w:rsid w:val="006D2302"/>
    <w:rsid w:val="006D633A"/>
    <w:rsid w:val="006D692E"/>
    <w:rsid w:val="006D7DB2"/>
    <w:rsid w:val="006E0B7D"/>
    <w:rsid w:val="006E1A0A"/>
    <w:rsid w:val="006E44EC"/>
    <w:rsid w:val="006E6578"/>
    <w:rsid w:val="006E7BEB"/>
    <w:rsid w:val="006F1627"/>
    <w:rsid w:val="006F35E0"/>
    <w:rsid w:val="006F4AC1"/>
    <w:rsid w:val="006F70B0"/>
    <w:rsid w:val="00701CBC"/>
    <w:rsid w:val="00701D8F"/>
    <w:rsid w:val="00703922"/>
    <w:rsid w:val="00703A26"/>
    <w:rsid w:val="0071414A"/>
    <w:rsid w:val="00714353"/>
    <w:rsid w:val="0071478D"/>
    <w:rsid w:val="00715AA3"/>
    <w:rsid w:val="00724773"/>
    <w:rsid w:val="007254B0"/>
    <w:rsid w:val="00725ADB"/>
    <w:rsid w:val="00727F8C"/>
    <w:rsid w:val="00735C25"/>
    <w:rsid w:val="007373F5"/>
    <w:rsid w:val="00737574"/>
    <w:rsid w:val="00742B83"/>
    <w:rsid w:val="00744E3D"/>
    <w:rsid w:val="007478D1"/>
    <w:rsid w:val="007501A3"/>
    <w:rsid w:val="0075288B"/>
    <w:rsid w:val="00754384"/>
    <w:rsid w:val="00757445"/>
    <w:rsid w:val="00757DBC"/>
    <w:rsid w:val="00765060"/>
    <w:rsid w:val="00767315"/>
    <w:rsid w:val="00791C07"/>
    <w:rsid w:val="00791E4B"/>
    <w:rsid w:val="00792A5F"/>
    <w:rsid w:val="007936D3"/>
    <w:rsid w:val="007956B7"/>
    <w:rsid w:val="007A0006"/>
    <w:rsid w:val="007A009D"/>
    <w:rsid w:val="007A45A0"/>
    <w:rsid w:val="007A6D8B"/>
    <w:rsid w:val="007A7177"/>
    <w:rsid w:val="007B58A0"/>
    <w:rsid w:val="007C152F"/>
    <w:rsid w:val="007C238D"/>
    <w:rsid w:val="007D2A6E"/>
    <w:rsid w:val="007D2D79"/>
    <w:rsid w:val="007E17A1"/>
    <w:rsid w:val="007E2893"/>
    <w:rsid w:val="007E34AA"/>
    <w:rsid w:val="007E3636"/>
    <w:rsid w:val="007E59F4"/>
    <w:rsid w:val="007E71EA"/>
    <w:rsid w:val="007F0949"/>
    <w:rsid w:val="007F1097"/>
    <w:rsid w:val="007F34C7"/>
    <w:rsid w:val="007F7020"/>
    <w:rsid w:val="00804297"/>
    <w:rsid w:val="00805649"/>
    <w:rsid w:val="00805D9E"/>
    <w:rsid w:val="0081547F"/>
    <w:rsid w:val="00815640"/>
    <w:rsid w:val="0082373C"/>
    <w:rsid w:val="00825D60"/>
    <w:rsid w:val="00826CC9"/>
    <w:rsid w:val="008272F9"/>
    <w:rsid w:val="00827729"/>
    <w:rsid w:val="00835820"/>
    <w:rsid w:val="00842332"/>
    <w:rsid w:val="0085209C"/>
    <w:rsid w:val="00854D5A"/>
    <w:rsid w:val="008650B5"/>
    <w:rsid w:val="00870F3A"/>
    <w:rsid w:val="008736FC"/>
    <w:rsid w:val="0087454D"/>
    <w:rsid w:val="008761E9"/>
    <w:rsid w:val="008764D6"/>
    <w:rsid w:val="0088486D"/>
    <w:rsid w:val="00887572"/>
    <w:rsid w:val="00890EF7"/>
    <w:rsid w:val="00892722"/>
    <w:rsid w:val="00892E7B"/>
    <w:rsid w:val="00893A65"/>
    <w:rsid w:val="00894CB9"/>
    <w:rsid w:val="00894E39"/>
    <w:rsid w:val="00895FDD"/>
    <w:rsid w:val="008A454E"/>
    <w:rsid w:val="008A523F"/>
    <w:rsid w:val="008A724B"/>
    <w:rsid w:val="008B3738"/>
    <w:rsid w:val="008B5452"/>
    <w:rsid w:val="008B7016"/>
    <w:rsid w:val="008B71B7"/>
    <w:rsid w:val="008C06DF"/>
    <w:rsid w:val="008C0CB8"/>
    <w:rsid w:val="008C1A00"/>
    <w:rsid w:val="008C780B"/>
    <w:rsid w:val="008D4CD1"/>
    <w:rsid w:val="008D5E97"/>
    <w:rsid w:val="008D5FA7"/>
    <w:rsid w:val="008E0099"/>
    <w:rsid w:val="008E2520"/>
    <w:rsid w:val="008E52C7"/>
    <w:rsid w:val="008F618B"/>
    <w:rsid w:val="0090162C"/>
    <w:rsid w:val="00903500"/>
    <w:rsid w:val="00904676"/>
    <w:rsid w:val="00914075"/>
    <w:rsid w:val="009149CE"/>
    <w:rsid w:val="00915534"/>
    <w:rsid w:val="009156C2"/>
    <w:rsid w:val="0091572F"/>
    <w:rsid w:val="00922953"/>
    <w:rsid w:val="00924254"/>
    <w:rsid w:val="00924B67"/>
    <w:rsid w:val="009271C2"/>
    <w:rsid w:val="009312EF"/>
    <w:rsid w:val="009323A5"/>
    <w:rsid w:val="009355F0"/>
    <w:rsid w:val="0093606C"/>
    <w:rsid w:val="00936BD8"/>
    <w:rsid w:val="009421E3"/>
    <w:rsid w:val="00944FDA"/>
    <w:rsid w:val="00945230"/>
    <w:rsid w:val="0096065E"/>
    <w:rsid w:val="00963446"/>
    <w:rsid w:val="0096376A"/>
    <w:rsid w:val="0096577C"/>
    <w:rsid w:val="00967887"/>
    <w:rsid w:val="00970BEC"/>
    <w:rsid w:val="00971B3F"/>
    <w:rsid w:val="00972400"/>
    <w:rsid w:val="009737DF"/>
    <w:rsid w:val="00974A31"/>
    <w:rsid w:val="00976548"/>
    <w:rsid w:val="00982CDF"/>
    <w:rsid w:val="00983D48"/>
    <w:rsid w:val="00985663"/>
    <w:rsid w:val="009860F6"/>
    <w:rsid w:val="00990041"/>
    <w:rsid w:val="009908C6"/>
    <w:rsid w:val="0099249C"/>
    <w:rsid w:val="00992A83"/>
    <w:rsid w:val="0099305A"/>
    <w:rsid w:val="00993AFE"/>
    <w:rsid w:val="00997825"/>
    <w:rsid w:val="009A026D"/>
    <w:rsid w:val="009A1068"/>
    <w:rsid w:val="009A3C8B"/>
    <w:rsid w:val="009A3CCB"/>
    <w:rsid w:val="009A6451"/>
    <w:rsid w:val="009B0577"/>
    <w:rsid w:val="009B5B0A"/>
    <w:rsid w:val="009C746C"/>
    <w:rsid w:val="009D5A37"/>
    <w:rsid w:val="009D7D19"/>
    <w:rsid w:val="009E0954"/>
    <w:rsid w:val="009E1ADA"/>
    <w:rsid w:val="009E55A1"/>
    <w:rsid w:val="009F0451"/>
    <w:rsid w:val="009F1BA3"/>
    <w:rsid w:val="009F1F6D"/>
    <w:rsid w:val="009F25B7"/>
    <w:rsid w:val="009F5441"/>
    <w:rsid w:val="009F545B"/>
    <w:rsid w:val="009F7A38"/>
    <w:rsid w:val="00A036AA"/>
    <w:rsid w:val="00A03B71"/>
    <w:rsid w:val="00A04B36"/>
    <w:rsid w:val="00A05A20"/>
    <w:rsid w:val="00A05B6F"/>
    <w:rsid w:val="00A079FC"/>
    <w:rsid w:val="00A11876"/>
    <w:rsid w:val="00A20416"/>
    <w:rsid w:val="00A2308D"/>
    <w:rsid w:val="00A2396B"/>
    <w:rsid w:val="00A23E5D"/>
    <w:rsid w:val="00A242BC"/>
    <w:rsid w:val="00A24C10"/>
    <w:rsid w:val="00A3329C"/>
    <w:rsid w:val="00A3523F"/>
    <w:rsid w:val="00A35BC8"/>
    <w:rsid w:val="00A36FDF"/>
    <w:rsid w:val="00A37A66"/>
    <w:rsid w:val="00A413AB"/>
    <w:rsid w:val="00A41773"/>
    <w:rsid w:val="00A42F6A"/>
    <w:rsid w:val="00A47616"/>
    <w:rsid w:val="00A47D62"/>
    <w:rsid w:val="00A47DC6"/>
    <w:rsid w:val="00A50182"/>
    <w:rsid w:val="00A53E01"/>
    <w:rsid w:val="00A54DB0"/>
    <w:rsid w:val="00A55814"/>
    <w:rsid w:val="00A617EF"/>
    <w:rsid w:val="00A66FE9"/>
    <w:rsid w:val="00A70EBF"/>
    <w:rsid w:val="00A71D3B"/>
    <w:rsid w:val="00A74531"/>
    <w:rsid w:val="00A74ECB"/>
    <w:rsid w:val="00A74F17"/>
    <w:rsid w:val="00A767A2"/>
    <w:rsid w:val="00A81AB2"/>
    <w:rsid w:val="00A8384B"/>
    <w:rsid w:val="00A8579A"/>
    <w:rsid w:val="00A8771F"/>
    <w:rsid w:val="00A900DE"/>
    <w:rsid w:val="00A9158A"/>
    <w:rsid w:val="00AA18A3"/>
    <w:rsid w:val="00AA7D5A"/>
    <w:rsid w:val="00AB2A18"/>
    <w:rsid w:val="00AB3EB2"/>
    <w:rsid w:val="00AB3FEE"/>
    <w:rsid w:val="00AB51F6"/>
    <w:rsid w:val="00AB5538"/>
    <w:rsid w:val="00AB59F4"/>
    <w:rsid w:val="00AB7430"/>
    <w:rsid w:val="00AD09EF"/>
    <w:rsid w:val="00AD107E"/>
    <w:rsid w:val="00AD3E2D"/>
    <w:rsid w:val="00AD5FC6"/>
    <w:rsid w:val="00AE1058"/>
    <w:rsid w:val="00AE3F48"/>
    <w:rsid w:val="00AE48C9"/>
    <w:rsid w:val="00AE7EF7"/>
    <w:rsid w:val="00AF73B0"/>
    <w:rsid w:val="00B00F78"/>
    <w:rsid w:val="00B019E0"/>
    <w:rsid w:val="00B03539"/>
    <w:rsid w:val="00B11E8F"/>
    <w:rsid w:val="00B120E9"/>
    <w:rsid w:val="00B15CC4"/>
    <w:rsid w:val="00B21679"/>
    <w:rsid w:val="00B24674"/>
    <w:rsid w:val="00B24AA6"/>
    <w:rsid w:val="00B2775D"/>
    <w:rsid w:val="00B2783D"/>
    <w:rsid w:val="00B278A9"/>
    <w:rsid w:val="00B42156"/>
    <w:rsid w:val="00B42BAD"/>
    <w:rsid w:val="00B43CE5"/>
    <w:rsid w:val="00B5044A"/>
    <w:rsid w:val="00B51FE0"/>
    <w:rsid w:val="00B52031"/>
    <w:rsid w:val="00B57DBD"/>
    <w:rsid w:val="00B6060B"/>
    <w:rsid w:val="00B61F14"/>
    <w:rsid w:val="00B674D5"/>
    <w:rsid w:val="00B7148C"/>
    <w:rsid w:val="00B74478"/>
    <w:rsid w:val="00B753AC"/>
    <w:rsid w:val="00B759D2"/>
    <w:rsid w:val="00B75C6B"/>
    <w:rsid w:val="00B82597"/>
    <w:rsid w:val="00B84E86"/>
    <w:rsid w:val="00B8545F"/>
    <w:rsid w:val="00B913BE"/>
    <w:rsid w:val="00B92950"/>
    <w:rsid w:val="00B93666"/>
    <w:rsid w:val="00B946E9"/>
    <w:rsid w:val="00B9656C"/>
    <w:rsid w:val="00B968F7"/>
    <w:rsid w:val="00B96DD1"/>
    <w:rsid w:val="00B97587"/>
    <w:rsid w:val="00BA29AA"/>
    <w:rsid w:val="00BA2C5F"/>
    <w:rsid w:val="00BA4BA4"/>
    <w:rsid w:val="00BA618C"/>
    <w:rsid w:val="00BA689D"/>
    <w:rsid w:val="00BA7B33"/>
    <w:rsid w:val="00BB180C"/>
    <w:rsid w:val="00BB4BAD"/>
    <w:rsid w:val="00BB5E89"/>
    <w:rsid w:val="00BB6A7B"/>
    <w:rsid w:val="00BC1D2B"/>
    <w:rsid w:val="00BC1FC0"/>
    <w:rsid w:val="00BC33BC"/>
    <w:rsid w:val="00BC5DAF"/>
    <w:rsid w:val="00BD0F48"/>
    <w:rsid w:val="00BD2791"/>
    <w:rsid w:val="00BD2A14"/>
    <w:rsid w:val="00BD2FF5"/>
    <w:rsid w:val="00BD3C81"/>
    <w:rsid w:val="00BD5973"/>
    <w:rsid w:val="00BD7EFF"/>
    <w:rsid w:val="00BF1121"/>
    <w:rsid w:val="00BF1B91"/>
    <w:rsid w:val="00BF1EC0"/>
    <w:rsid w:val="00BF62A5"/>
    <w:rsid w:val="00BF6FBC"/>
    <w:rsid w:val="00C01315"/>
    <w:rsid w:val="00C04BBD"/>
    <w:rsid w:val="00C0656F"/>
    <w:rsid w:val="00C06749"/>
    <w:rsid w:val="00C07F54"/>
    <w:rsid w:val="00C1153F"/>
    <w:rsid w:val="00C14643"/>
    <w:rsid w:val="00C202C1"/>
    <w:rsid w:val="00C30448"/>
    <w:rsid w:val="00C30C81"/>
    <w:rsid w:val="00C41DF9"/>
    <w:rsid w:val="00C43124"/>
    <w:rsid w:val="00C5215D"/>
    <w:rsid w:val="00C5238E"/>
    <w:rsid w:val="00C52982"/>
    <w:rsid w:val="00C55F85"/>
    <w:rsid w:val="00C60CA3"/>
    <w:rsid w:val="00C60DC6"/>
    <w:rsid w:val="00C62229"/>
    <w:rsid w:val="00C625A6"/>
    <w:rsid w:val="00C6492E"/>
    <w:rsid w:val="00C656B4"/>
    <w:rsid w:val="00C662C3"/>
    <w:rsid w:val="00C66B29"/>
    <w:rsid w:val="00C66F66"/>
    <w:rsid w:val="00C67DCE"/>
    <w:rsid w:val="00C77E45"/>
    <w:rsid w:val="00C80B76"/>
    <w:rsid w:val="00C82349"/>
    <w:rsid w:val="00C823F4"/>
    <w:rsid w:val="00C82D9D"/>
    <w:rsid w:val="00C847A0"/>
    <w:rsid w:val="00C94148"/>
    <w:rsid w:val="00CA08EB"/>
    <w:rsid w:val="00CA5C98"/>
    <w:rsid w:val="00CA65D2"/>
    <w:rsid w:val="00CA687D"/>
    <w:rsid w:val="00CB2A85"/>
    <w:rsid w:val="00CB6A43"/>
    <w:rsid w:val="00CC36D1"/>
    <w:rsid w:val="00CC74F0"/>
    <w:rsid w:val="00CD676A"/>
    <w:rsid w:val="00CE0080"/>
    <w:rsid w:val="00CE26D1"/>
    <w:rsid w:val="00CE2AE1"/>
    <w:rsid w:val="00CE3D75"/>
    <w:rsid w:val="00CE4015"/>
    <w:rsid w:val="00CE6B65"/>
    <w:rsid w:val="00CF1043"/>
    <w:rsid w:val="00D018ED"/>
    <w:rsid w:val="00D01D96"/>
    <w:rsid w:val="00D03E79"/>
    <w:rsid w:val="00D0645F"/>
    <w:rsid w:val="00D07B69"/>
    <w:rsid w:val="00D12056"/>
    <w:rsid w:val="00D1400B"/>
    <w:rsid w:val="00D202B9"/>
    <w:rsid w:val="00D21519"/>
    <w:rsid w:val="00D301E4"/>
    <w:rsid w:val="00D313CA"/>
    <w:rsid w:val="00D31BEB"/>
    <w:rsid w:val="00D33E12"/>
    <w:rsid w:val="00D35FA7"/>
    <w:rsid w:val="00D4085A"/>
    <w:rsid w:val="00D4190E"/>
    <w:rsid w:val="00D42103"/>
    <w:rsid w:val="00D50637"/>
    <w:rsid w:val="00D52433"/>
    <w:rsid w:val="00D52D70"/>
    <w:rsid w:val="00D64505"/>
    <w:rsid w:val="00D67606"/>
    <w:rsid w:val="00D72FEB"/>
    <w:rsid w:val="00D746F3"/>
    <w:rsid w:val="00D766F7"/>
    <w:rsid w:val="00D778B1"/>
    <w:rsid w:val="00D808A9"/>
    <w:rsid w:val="00D808D4"/>
    <w:rsid w:val="00D81F91"/>
    <w:rsid w:val="00D84CCC"/>
    <w:rsid w:val="00D850C6"/>
    <w:rsid w:val="00D90D20"/>
    <w:rsid w:val="00D90FC1"/>
    <w:rsid w:val="00D916D1"/>
    <w:rsid w:val="00D93855"/>
    <w:rsid w:val="00D9420D"/>
    <w:rsid w:val="00DA4A35"/>
    <w:rsid w:val="00DA4B81"/>
    <w:rsid w:val="00DA60FC"/>
    <w:rsid w:val="00DA77CE"/>
    <w:rsid w:val="00DB26CD"/>
    <w:rsid w:val="00DB48AF"/>
    <w:rsid w:val="00DC1420"/>
    <w:rsid w:val="00DC2150"/>
    <w:rsid w:val="00DC3D68"/>
    <w:rsid w:val="00DC4305"/>
    <w:rsid w:val="00DC4C98"/>
    <w:rsid w:val="00DD263E"/>
    <w:rsid w:val="00DD493B"/>
    <w:rsid w:val="00DD4DF5"/>
    <w:rsid w:val="00DD6764"/>
    <w:rsid w:val="00DD7F66"/>
    <w:rsid w:val="00DE2A00"/>
    <w:rsid w:val="00DE69BD"/>
    <w:rsid w:val="00DE6C82"/>
    <w:rsid w:val="00DF11BB"/>
    <w:rsid w:val="00DF1715"/>
    <w:rsid w:val="00DF4440"/>
    <w:rsid w:val="00DF456B"/>
    <w:rsid w:val="00DF50DA"/>
    <w:rsid w:val="00E01655"/>
    <w:rsid w:val="00E10DD7"/>
    <w:rsid w:val="00E1308F"/>
    <w:rsid w:val="00E210A4"/>
    <w:rsid w:val="00E2184E"/>
    <w:rsid w:val="00E24C50"/>
    <w:rsid w:val="00E26BDA"/>
    <w:rsid w:val="00E30EC9"/>
    <w:rsid w:val="00E31848"/>
    <w:rsid w:val="00E31A8A"/>
    <w:rsid w:val="00E3339A"/>
    <w:rsid w:val="00E34C43"/>
    <w:rsid w:val="00E36447"/>
    <w:rsid w:val="00E418ED"/>
    <w:rsid w:val="00E41D53"/>
    <w:rsid w:val="00E41DD8"/>
    <w:rsid w:val="00E42950"/>
    <w:rsid w:val="00E50DBE"/>
    <w:rsid w:val="00E53512"/>
    <w:rsid w:val="00E5400C"/>
    <w:rsid w:val="00E60033"/>
    <w:rsid w:val="00E609F5"/>
    <w:rsid w:val="00E61AC2"/>
    <w:rsid w:val="00E67F46"/>
    <w:rsid w:val="00E71505"/>
    <w:rsid w:val="00E74133"/>
    <w:rsid w:val="00E853F7"/>
    <w:rsid w:val="00E865FD"/>
    <w:rsid w:val="00E90C43"/>
    <w:rsid w:val="00E956CD"/>
    <w:rsid w:val="00E95A0E"/>
    <w:rsid w:val="00E97ADC"/>
    <w:rsid w:val="00EA374B"/>
    <w:rsid w:val="00EB0284"/>
    <w:rsid w:val="00EB3427"/>
    <w:rsid w:val="00EB3AB5"/>
    <w:rsid w:val="00EB65CA"/>
    <w:rsid w:val="00EB7DAE"/>
    <w:rsid w:val="00EC2755"/>
    <w:rsid w:val="00EC2FE3"/>
    <w:rsid w:val="00EC763A"/>
    <w:rsid w:val="00ED0BBE"/>
    <w:rsid w:val="00ED225B"/>
    <w:rsid w:val="00EE28D4"/>
    <w:rsid w:val="00EE3846"/>
    <w:rsid w:val="00EE409B"/>
    <w:rsid w:val="00EE487D"/>
    <w:rsid w:val="00EE5769"/>
    <w:rsid w:val="00EE7386"/>
    <w:rsid w:val="00EF0EF4"/>
    <w:rsid w:val="00EF5143"/>
    <w:rsid w:val="00EF57D4"/>
    <w:rsid w:val="00EF7309"/>
    <w:rsid w:val="00F01869"/>
    <w:rsid w:val="00F02671"/>
    <w:rsid w:val="00F06140"/>
    <w:rsid w:val="00F062C6"/>
    <w:rsid w:val="00F11337"/>
    <w:rsid w:val="00F253B4"/>
    <w:rsid w:val="00F26051"/>
    <w:rsid w:val="00F26696"/>
    <w:rsid w:val="00F27C6B"/>
    <w:rsid w:val="00F33A15"/>
    <w:rsid w:val="00F3733D"/>
    <w:rsid w:val="00F40E64"/>
    <w:rsid w:val="00F42594"/>
    <w:rsid w:val="00F44540"/>
    <w:rsid w:val="00F4622B"/>
    <w:rsid w:val="00F47FAA"/>
    <w:rsid w:val="00F607D0"/>
    <w:rsid w:val="00F61803"/>
    <w:rsid w:val="00F622A7"/>
    <w:rsid w:val="00F6489B"/>
    <w:rsid w:val="00F703D4"/>
    <w:rsid w:val="00F70523"/>
    <w:rsid w:val="00F742BB"/>
    <w:rsid w:val="00F76402"/>
    <w:rsid w:val="00F821AD"/>
    <w:rsid w:val="00F85609"/>
    <w:rsid w:val="00F91CF8"/>
    <w:rsid w:val="00F94A8F"/>
    <w:rsid w:val="00F9506B"/>
    <w:rsid w:val="00F96B61"/>
    <w:rsid w:val="00FA357F"/>
    <w:rsid w:val="00FA5C1B"/>
    <w:rsid w:val="00FB0357"/>
    <w:rsid w:val="00FB3B87"/>
    <w:rsid w:val="00FB5A73"/>
    <w:rsid w:val="00FB6A86"/>
    <w:rsid w:val="00FB71E1"/>
    <w:rsid w:val="00FC3B60"/>
    <w:rsid w:val="00FC62EC"/>
    <w:rsid w:val="00FC799B"/>
    <w:rsid w:val="00FD33DC"/>
    <w:rsid w:val="00FD46AD"/>
    <w:rsid w:val="00FD4925"/>
    <w:rsid w:val="00FD4935"/>
    <w:rsid w:val="00FD496F"/>
    <w:rsid w:val="00FD5736"/>
    <w:rsid w:val="00FD65D6"/>
    <w:rsid w:val="00FE1A01"/>
    <w:rsid w:val="00FE5CCF"/>
    <w:rsid w:val="00FE5FB1"/>
    <w:rsid w:val="00FF273D"/>
    <w:rsid w:val="00FF388B"/>
    <w:rsid w:val="00FF4D22"/>
    <w:rsid w:val="00FF4D73"/>
    <w:rsid w:val="00FF61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E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8C"/>
    <w:pPr>
      <w:spacing w:after="200" w:line="276" w:lineRule="auto"/>
    </w:pPr>
    <w:rPr>
      <w:sz w:val="22"/>
      <w:szCs w:val="22"/>
    </w:rPr>
  </w:style>
  <w:style w:type="paragraph" w:styleId="1">
    <w:name w:val="heading 1"/>
    <w:basedOn w:val="a"/>
    <w:next w:val="a"/>
    <w:link w:val="10"/>
    <w:uiPriority w:val="9"/>
    <w:qFormat/>
    <w:rsid w:val="00BA618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248B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618C"/>
    <w:rPr>
      <w:rFonts w:ascii="Cambria" w:eastAsia="Times New Roman" w:hAnsi="Cambria" w:cs="Times New Roman"/>
      <w:b/>
      <w:bCs/>
      <w:kern w:val="32"/>
      <w:sz w:val="32"/>
      <w:szCs w:val="32"/>
    </w:rPr>
  </w:style>
  <w:style w:type="character" w:styleId="a3">
    <w:name w:val="Hyperlink"/>
    <w:uiPriority w:val="99"/>
    <w:unhideWhenUsed/>
    <w:rsid w:val="00BA618C"/>
    <w:rPr>
      <w:color w:val="0000FF"/>
      <w:u w:val="single"/>
    </w:rPr>
  </w:style>
  <w:style w:type="paragraph" w:styleId="a4">
    <w:name w:val="List Paragraph"/>
    <w:basedOn w:val="a"/>
    <w:link w:val="a5"/>
    <w:uiPriority w:val="34"/>
    <w:qFormat/>
    <w:rsid w:val="00BA618C"/>
    <w:pPr>
      <w:ind w:left="720"/>
      <w:contextualSpacing/>
    </w:pPr>
  </w:style>
  <w:style w:type="paragraph" w:styleId="a6">
    <w:name w:val="header"/>
    <w:basedOn w:val="a"/>
    <w:link w:val="a7"/>
    <w:uiPriority w:val="99"/>
    <w:unhideWhenUsed/>
    <w:rsid w:val="00D31BEB"/>
    <w:pPr>
      <w:tabs>
        <w:tab w:val="center" w:pos="4677"/>
        <w:tab w:val="right" w:pos="9355"/>
      </w:tabs>
    </w:pPr>
  </w:style>
  <w:style w:type="character" w:customStyle="1" w:styleId="a7">
    <w:name w:val="Верхний колонтитул Знак"/>
    <w:link w:val="a6"/>
    <w:uiPriority w:val="99"/>
    <w:rsid w:val="00D31BEB"/>
    <w:rPr>
      <w:sz w:val="22"/>
      <w:szCs w:val="22"/>
      <w:lang w:eastAsia="en-GB"/>
    </w:rPr>
  </w:style>
  <w:style w:type="paragraph" w:styleId="a8">
    <w:name w:val="footer"/>
    <w:basedOn w:val="a"/>
    <w:link w:val="a9"/>
    <w:uiPriority w:val="99"/>
    <w:unhideWhenUsed/>
    <w:rsid w:val="00D31BEB"/>
    <w:pPr>
      <w:tabs>
        <w:tab w:val="center" w:pos="4677"/>
        <w:tab w:val="right" w:pos="9355"/>
      </w:tabs>
    </w:pPr>
  </w:style>
  <w:style w:type="character" w:customStyle="1" w:styleId="a9">
    <w:name w:val="Нижний колонтитул Знак"/>
    <w:link w:val="a8"/>
    <w:uiPriority w:val="99"/>
    <w:rsid w:val="00D31BEB"/>
    <w:rPr>
      <w:sz w:val="22"/>
      <w:szCs w:val="22"/>
      <w:lang w:eastAsia="en-GB"/>
    </w:rPr>
  </w:style>
  <w:style w:type="character" w:customStyle="1" w:styleId="20">
    <w:name w:val="Заголовок 2 Знак"/>
    <w:link w:val="2"/>
    <w:uiPriority w:val="9"/>
    <w:semiHidden/>
    <w:rsid w:val="004248B9"/>
    <w:rPr>
      <w:rFonts w:ascii="Cambria" w:eastAsia="Times New Roman" w:hAnsi="Cambria" w:cs="Times New Roman"/>
      <w:b/>
      <w:bCs/>
      <w:i/>
      <w:iCs/>
      <w:sz w:val="28"/>
      <w:szCs w:val="28"/>
      <w:lang w:eastAsia="en-GB"/>
    </w:rPr>
  </w:style>
  <w:style w:type="paragraph" w:styleId="aa">
    <w:name w:val="Balloon Text"/>
    <w:basedOn w:val="a"/>
    <w:link w:val="ab"/>
    <w:uiPriority w:val="99"/>
    <w:semiHidden/>
    <w:unhideWhenUsed/>
    <w:rsid w:val="008423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2332"/>
    <w:rPr>
      <w:rFonts w:ascii="Tahoma" w:hAnsi="Tahoma" w:cs="Tahoma"/>
      <w:sz w:val="16"/>
      <w:szCs w:val="16"/>
      <w:lang w:eastAsia="en-GB"/>
    </w:rPr>
  </w:style>
  <w:style w:type="paragraph" w:styleId="ac">
    <w:name w:val="footnote text"/>
    <w:aliases w:val="single space,footnote text,Текст сноски-FN,Footnote text,Schriftart: 9 pt,Schriftart: 10 pt,Schriftart: 8 pt,Podrozdział,Footnote,o,Footnote Text Char Знак Знак,Footnote Text Char Знак,Table_Footnote_last,Oaeno niinee-FN,Footnote text Зна"/>
    <w:basedOn w:val="a"/>
    <w:link w:val="ad"/>
    <w:uiPriority w:val="99"/>
    <w:unhideWhenUsed/>
    <w:rsid w:val="0056287F"/>
    <w:pPr>
      <w:spacing w:after="0" w:line="240" w:lineRule="auto"/>
    </w:pPr>
    <w:rPr>
      <w:sz w:val="20"/>
      <w:szCs w:val="20"/>
    </w:rPr>
  </w:style>
  <w:style w:type="character" w:customStyle="1" w:styleId="ad">
    <w:name w:val="Текст сноски Знак"/>
    <w:aliases w:val="single space Знак,footnote text Знак,Текст сноски-FN Знак,Footnote text Знак,Schriftart: 9 pt Знак,Schriftart: 10 pt Знак,Schriftart: 8 pt Знак,Podrozdział Знак,Footnote Знак,o Знак,Footnote Text Char Знак Знак Знак"/>
    <w:basedOn w:val="a0"/>
    <w:link w:val="ac"/>
    <w:uiPriority w:val="99"/>
    <w:rsid w:val="0056287F"/>
    <w:rPr>
      <w:lang w:eastAsia="en-GB"/>
    </w:rPr>
  </w:style>
  <w:style w:type="character" w:styleId="ae">
    <w:name w:val="footnote reference"/>
    <w:aliases w:val="Знак сноски-FN,fr,Used by Word for Help footnote symbols,Ciae niinee-FN,Знак сноски 1,Ссылка на сноску 45,Referencia nota al pie,Ciae niinee 1,Footnote Reference Number"/>
    <w:basedOn w:val="a0"/>
    <w:uiPriority w:val="99"/>
    <w:unhideWhenUsed/>
    <w:rsid w:val="0056287F"/>
    <w:rPr>
      <w:vertAlign w:val="superscript"/>
    </w:rPr>
  </w:style>
  <w:style w:type="character" w:customStyle="1" w:styleId="a5">
    <w:name w:val="Абзац списка Знак"/>
    <w:link w:val="a4"/>
    <w:uiPriority w:val="34"/>
    <w:locked/>
    <w:rsid w:val="00B75C6B"/>
    <w:rPr>
      <w:sz w:val="22"/>
      <w:szCs w:val="22"/>
      <w:lang w:eastAsia="en-GB"/>
    </w:rPr>
  </w:style>
  <w:style w:type="character" w:styleId="af">
    <w:name w:val="annotation reference"/>
    <w:basedOn w:val="a0"/>
    <w:uiPriority w:val="99"/>
    <w:semiHidden/>
    <w:unhideWhenUsed/>
    <w:rsid w:val="0088486D"/>
    <w:rPr>
      <w:sz w:val="16"/>
      <w:szCs w:val="16"/>
    </w:rPr>
  </w:style>
  <w:style w:type="paragraph" w:styleId="af0">
    <w:name w:val="annotation text"/>
    <w:basedOn w:val="a"/>
    <w:link w:val="af1"/>
    <w:uiPriority w:val="99"/>
    <w:semiHidden/>
    <w:unhideWhenUsed/>
    <w:rsid w:val="0088486D"/>
    <w:pPr>
      <w:spacing w:line="240" w:lineRule="auto"/>
    </w:pPr>
    <w:rPr>
      <w:sz w:val="20"/>
      <w:szCs w:val="20"/>
    </w:rPr>
  </w:style>
  <w:style w:type="character" w:customStyle="1" w:styleId="af1">
    <w:name w:val="Текст примечания Знак"/>
    <w:basedOn w:val="a0"/>
    <w:link w:val="af0"/>
    <w:uiPriority w:val="99"/>
    <w:semiHidden/>
    <w:rsid w:val="0088486D"/>
  </w:style>
  <w:style w:type="paragraph" w:styleId="af2">
    <w:name w:val="annotation subject"/>
    <w:basedOn w:val="af0"/>
    <w:next w:val="af0"/>
    <w:link w:val="af3"/>
    <w:uiPriority w:val="99"/>
    <w:semiHidden/>
    <w:unhideWhenUsed/>
    <w:rsid w:val="0088486D"/>
    <w:rPr>
      <w:b/>
      <w:bCs/>
    </w:rPr>
  </w:style>
  <w:style w:type="character" w:customStyle="1" w:styleId="af3">
    <w:name w:val="Тема примечания Знак"/>
    <w:basedOn w:val="af1"/>
    <w:link w:val="af2"/>
    <w:uiPriority w:val="99"/>
    <w:semiHidden/>
    <w:rsid w:val="0088486D"/>
    <w:rPr>
      <w:b/>
      <w:bCs/>
    </w:rPr>
  </w:style>
  <w:style w:type="paragraph" w:styleId="af4">
    <w:name w:val="Revision"/>
    <w:hidden/>
    <w:uiPriority w:val="99"/>
    <w:semiHidden/>
    <w:rsid w:val="008848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8C"/>
    <w:pPr>
      <w:spacing w:after="200" w:line="276" w:lineRule="auto"/>
    </w:pPr>
    <w:rPr>
      <w:sz w:val="22"/>
      <w:szCs w:val="22"/>
    </w:rPr>
  </w:style>
  <w:style w:type="paragraph" w:styleId="1">
    <w:name w:val="heading 1"/>
    <w:basedOn w:val="a"/>
    <w:next w:val="a"/>
    <w:link w:val="10"/>
    <w:uiPriority w:val="9"/>
    <w:qFormat/>
    <w:rsid w:val="00BA618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248B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618C"/>
    <w:rPr>
      <w:rFonts w:ascii="Cambria" w:eastAsia="Times New Roman" w:hAnsi="Cambria" w:cs="Times New Roman"/>
      <w:b/>
      <w:bCs/>
      <w:kern w:val="32"/>
      <w:sz w:val="32"/>
      <w:szCs w:val="32"/>
    </w:rPr>
  </w:style>
  <w:style w:type="character" w:styleId="a3">
    <w:name w:val="Hyperlink"/>
    <w:uiPriority w:val="99"/>
    <w:unhideWhenUsed/>
    <w:rsid w:val="00BA618C"/>
    <w:rPr>
      <w:color w:val="0000FF"/>
      <w:u w:val="single"/>
    </w:rPr>
  </w:style>
  <w:style w:type="paragraph" w:styleId="a4">
    <w:name w:val="List Paragraph"/>
    <w:basedOn w:val="a"/>
    <w:link w:val="a5"/>
    <w:uiPriority w:val="34"/>
    <w:qFormat/>
    <w:rsid w:val="00BA618C"/>
    <w:pPr>
      <w:ind w:left="720"/>
      <w:contextualSpacing/>
    </w:pPr>
  </w:style>
  <w:style w:type="paragraph" w:styleId="a6">
    <w:name w:val="header"/>
    <w:basedOn w:val="a"/>
    <w:link w:val="a7"/>
    <w:uiPriority w:val="99"/>
    <w:unhideWhenUsed/>
    <w:rsid w:val="00D31BEB"/>
    <w:pPr>
      <w:tabs>
        <w:tab w:val="center" w:pos="4677"/>
        <w:tab w:val="right" w:pos="9355"/>
      </w:tabs>
    </w:pPr>
  </w:style>
  <w:style w:type="character" w:customStyle="1" w:styleId="a7">
    <w:name w:val="Верхний колонтитул Знак"/>
    <w:link w:val="a6"/>
    <w:uiPriority w:val="99"/>
    <w:rsid w:val="00D31BEB"/>
    <w:rPr>
      <w:sz w:val="22"/>
      <w:szCs w:val="22"/>
      <w:lang w:eastAsia="en-GB"/>
    </w:rPr>
  </w:style>
  <w:style w:type="paragraph" w:styleId="a8">
    <w:name w:val="footer"/>
    <w:basedOn w:val="a"/>
    <w:link w:val="a9"/>
    <w:uiPriority w:val="99"/>
    <w:unhideWhenUsed/>
    <w:rsid w:val="00D31BEB"/>
    <w:pPr>
      <w:tabs>
        <w:tab w:val="center" w:pos="4677"/>
        <w:tab w:val="right" w:pos="9355"/>
      </w:tabs>
    </w:pPr>
  </w:style>
  <w:style w:type="character" w:customStyle="1" w:styleId="a9">
    <w:name w:val="Нижний колонтитул Знак"/>
    <w:link w:val="a8"/>
    <w:uiPriority w:val="99"/>
    <w:rsid w:val="00D31BEB"/>
    <w:rPr>
      <w:sz w:val="22"/>
      <w:szCs w:val="22"/>
      <w:lang w:eastAsia="en-GB"/>
    </w:rPr>
  </w:style>
  <w:style w:type="character" w:customStyle="1" w:styleId="20">
    <w:name w:val="Заголовок 2 Знак"/>
    <w:link w:val="2"/>
    <w:uiPriority w:val="9"/>
    <w:semiHidden/>
    <w:rsid w:val="004248B9"/>
    <w:rPr>
      <w:rFonts w:ascii="Cambria" w:eastAsia="Times New Roman" w:hAnsi="Cambria" w:cs="Times New Roman"/>
      <w:b/>
      <w:bCs/>
      <w:i/>
      <w:iCs/>
      <w:sz w:val="28"/>
      <w:szCs w:val="28"/>
      <w:lang w:eastAsia="en-GB"/>
    </w:rPr>
  </w:style>
  <w:style w:type="paragraph" w:styleId="aa">
    <w:name w:val="Balloon Text"/>
    <w:basedOn w:val="a"/>
    <w:link w:val="ab"/>
    <w:uiPriority w:val="99"/>
    <w:semiHidden/>
    <w:unhideWhenUsed/>
    <w:rsid w:val="008423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2332"/>
    <w:rPr>
      <w:rFonts w:ascii="Tahoma" w:hAnsi="Tahoma" w:cs="Tahoma"/>
      <w:sz w:val="16"/>
      <w:szCs w:val="16"/>
      <w:lang w:eastAsia="en-GB"/>
    </w:rPr>
  </w:style>
  <w:style w:type="paragraph" w:styleId="ac">
    <w:name w:val="footnote text"/>
    <w:aliases w:val="single space,footnote text,Текст сноски-FN,Footnote text,Schriftart: 9 pt,Schriftart: 10 pt,Schriftart: 8 pt,Podrozdział,Footnote,o,Footnote Text Char Знак Знак,Footnote Text Char Знак,Table_Footnote_last,Oaeno niinee-FN,Footnote text Зна"/>
    <w:basedOn w:val="a"/>
    <w:link w:val="ad"/>
    <w:uiPriority w:val="99"/>
    <w:unhideWhenUsed/>
    <w:rsid w:val="0056287F"/>
    <w:pPr>
      <w:spacing w:after="0" w:line="240" w:lineRule="auto"/>
    </w:pPr>
    <w:rPr>
      <w:sz w:val="20"/>
      <w:szCs w:val="20"/>
    </w:rPr>
  </w:style>
  <w:style w:type="character" w:customStyle="1" w:styleId="ad">
    <w:name w:val="Текст сноски Знак"/>
    <w:aliases w:val="single space Знак,footnote text Знак,Текст сноски-FN Знак,Footnote text Знак,Schriftart: 9 pt Знак,Schriftart: 10 pt Знак,Schriftart: 8 pt Знак,Podrozdział Знак,Footnote Знак,o Знак,Footnote Text Char Знак Знак Знак"/>
    <w:basedOn w:val="a0"/>
    <w:link w:val="ac"/>
    <w:uiPriority w:val="99"/>
    <w:rsid w:val="0056287F"/>
    <w:rPr>
      <w:lang w:eastAsia="en-GB"/>
    </w:rPr>
  </w:style>
  <w:style w:type="character" w:styleId="ae">
    <w:name w:val="footnote reference"/>
    <w:aliases w:val="Знак сноски-FN,fr,Used by Word for Help footnote symbols,Ciae niinee-FN,Знак сноски 1,Ссылка на сноску 45,Referencia nota al pie,Ciae niinee 1,Footnote Reference Number"/>
    <w:basedOn w:val="a0"/>
    <w:uiPriority w:val="99"/>
    <w:unhideWhenUsed/>
    <w:rsid w:val="0056287F"/>
    <w:rPr>
      <w:vertAlign w:val="superscript"/>
    </w:rPr>
  </w:style>
  <w:style w:type="character" w:customStyle="1" w:styleId="a5">
    <w:name w:val="Абзац списка Знак"/>
    <w:link w:val="a4"/>
    <w:uiPriority w:val="34"/>
    <w:locked/>
    <w:rsid w:val="00B75C6B"/>
    <w:rPr>
      <w:sz w:val="22"/>
      <w:szCs w:val="22"/>
      <w:lang w:eastAsia="en-GB"/>
    </w:rPr>
  </w:style>
  <w:style w:type="character" w:styleId="af">
    <w:name w:val="annotation reference"/>
    <w:basedOn w:val="a0"/>
    <w:uiPriority w:val="99"/>
    <w:semiHidden/>
    <w:unhideWhenUsed/>
    <w:rsid w:val="0088486D"/>
    <w:rPr>
      <w:sz w:val="16"/>
      <w:szCs w:val="16"/>
    </w:rPr>
  </w:style>
  <w:style w:type="paragraph" w:styleId="af0">
    <w:name w:val="annotation text"/>
    <w:basedOn w:val="a"/>
    <w:link w:val="af1"/>
    <w:uiPriority w:val="99"/>
    <w:semiHidden/>
    <w:unhideWhenUsed/>
    <w:rsid w:val="0088486D"/>
    <w:pPr>
      <w:spacing w:line="240" w:lineRule="auto"/>
    </w:pPr>
    <w:rPr>
      <w:sz w:val="20"/>
      <w:szCs w:val="20"/>
    </w:rPr>
  </w:style>
  <w:style w:type="character" w:customStyle="1" w:styleId="af1">
    <w:name w:val="Текст примечания Знак"/>
    <w:basedOn w:val="a0"/>
    <w:link w:val="af0"/>
    <w:uiPriority w:val="99"/>
    <w:semiHidden/>
    <w:rsid w:val="0088486D"/>
  </w:style>
  <w:style w:type="paragraph" w:styleId="af2">
    <w:name w:val="annotation subject"/>
    <w:basedOn w:val="af0"/>
    <w:next w:val="af0"/>
    <w:link w:val="af3"/>
    <w:uiPriority w:val="99"/>
    <w:semiHidden/>
    <w:unhideWhenUsed/>
    <w:rsid w:val="0088486D"/>
    <w:rPr>
      <w:b/>
      <w:bCs/>
    </w:rPr>
  </w:style>
  <w:style w:type="character" w:customStyle="1" w:styleId="af3">
    <w:name w:val="Тема примечания Знак"/>
    <w:basedOn w:val="af1"/>
    <w:link w:val="af2"/>
    <w:uiPriority w:val="99"/>
    <w:semiHidden/>
    <w:rsid w:val="0088486D"/>
    <w:rPr>
      <w:b/>
      <w:bCs/>
    </w:rPr>
  </w:style>
  <w:style w:type="paragraph" w:styleId="af4">
    <w:name w:val="Revision"/>
    <w:hidden/>
    <w:uiPriority w:val="99"/>
    <w:semiHidden/>
    <w:rsid w:val="008848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FFDA-FD53-42A8-B906-1E775E34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vparkachova</dc:creator>
  <cp:lastModifiedBy>Пользователь Parkacheva</cp:lastModifiedBy>
  <cp:revision>51</cp:revision>
  <cp:lastPrinted>2016-02-01T09:14:00Z</cp:lastPrinted>
  <dcterms:created xsi:type="dcterms:W3CDTF">2017-02-09T22:53:00Z</dcterms:created>
  <dcterms:modified xsi:type="dcterms:W3CDTF">2017-02-16T13:21:00Z</dcterms:modified>
</cp:coreProperties>
</file>